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991CD" w14:textId="0A1B276A" w:rsidR="00AF3058" w:rsidRDefault="00AF3058" w:rsidP="00E205FC">
      <w:pPr>
        <w:tabs>
          <w:tab w:val="left" w:pos="775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927"/>
      </w:tblGrid>
      <w:tr w:rsidR="00AF3058" w14:paraId="269FD04D" w14:textId="77777777">
        <w:tc>
          <w:tcPr>
            <w:tcW w:w="4361" w:type="dxa"/>
            <w:shd w:val="clear" w:color="auto" w:fill="auto"/>
          </w:tcPr>
          <w:p w14:paraId="45E95F91" w14:textId="77777777" w:rsidR="00AF3058" w:rsidRDefault="00AF3058">
            <w:r>
              <w:t>Naziv obveznika:</w:t>
            </w:r>
          </w:p>
        </w:tc>
        <w:tc>
          <w:tcPr>
            <w:tcW w:w="4927" w:type="dxa"/>
            <w:shd w:val="clear" w:color="auto" w:fill="auto"/>
          </w:tcPr>
          <w:p w14:paraId="2504077B" w14:textId="77777777" w:rsidR="00AF3058" w:rsidRDefault="00AF3058">
            <w:r>
              <w:t>DJEČJI VRTIĆ SISAK NOVI</w:t>
            </w:r>
          </w:p>
        </w:tc>
      </w:tr>
      <w:tr w:rsidR="00AF3058" w14:paraId="062D9481" w14:textId="77777777">
        <w:tc>
          <w:tcPr>
            <w:tcW w:w="4361" w:type="dxa"/>
            <w:shd w:val="clear" w:color="auto" w:fill="auto"/>
          </w:tcPr>
          <w:p w14:paraId="5C06F2E9" w14:textId="77777777" w:rsidR="00AF3058" w:rsidRDefault="00AF3058">
            <w:r>
              <w:t>Broj RKP-a:</w:t>
            </w:r>
          </w:p>
        </w:tc>
        <w:tc>
          <w:tcPr>
            <w:tcW w:w="4927" w:type="dxa"/>
            <w:shd w:val="clear" w:color="auto" w:fill="auto"/>
          </w:tcPr>
          <w:p w14:paraId="11A1C5CA" w14:textId="77777777" w:rsidR="00AF3058" w:rsidRDefault="00AF3058">
            <w:r>
              <w:t>2887</w:t>
            </w:r>
          </w:p>
        </w:tc>
      </w:tr>
      <w:tr w:rsidR="00AF3058" w14:paraId="4D6D49B0" w14:textId="77777777">
        <w:tc>
          <w:tcPr>
            <w:tcW w:w="4361" w:type="dxa"/>
            <w:shd w:val="clear" w:color="auto" w:fill="auto"/>
          </w:tcPr>
          <w:p w14:paraId="1DA6BC3B" w14:textId="77777777" w:rsidR="00AF3058" w:rsidRDefault="00AF3058">
            <w:r>
              <w:t>Sjedište obveznika:</w:t>
            </w:r>
          </w:p>
        </w:tc>
        <w:tc>
          <w:tcPr>
            <w:tcW w:w="4927" w:type="dxa"/>
            <w:shd w:val="clear" w:color="auto" w:fill="auto"/>
          </w:tcPr>
          <w:p w14:paraId="208FF316" w14:textId="77777777" w:rsidR="00AF3058" w:rsidRDefault="00AF3058">
            <w:r>
              <w:t>SISAK</w:t>
            </w:r>
          </w:p>
        </w:tc>
      </w:tr>
      <w:tr w:rsidR="00AF3058" w14:paraId="7B16D4A9" w14:textId="77777777">
        <w:tc>
          <w:tcPr>
            <w:tcW w:w="4361" w:type="dxa"/>
            <w:shd w:val="clear" w:color="auto" w:fill="auto"/>
          </w:tcPr>
          <w:p w14:paraId="74B0D5B4" w14:textId="77777777" w:rsidR="00AF3058" w:rsidRDefault="00AF3058">
            <w:r>
              <w:t>Matični broj:</w:t>
            </w:r>
          </w:p>
        </w:tc>
        <w:tc>
          <w:tcPr>
            <w:tcW w:w="4927" w:type="dxa"/>
            <w:shd w:val="clear" w:color="auto" w:fill="auto"/>
          </w:tcPr>
          <w:p w14:paraId="3F034264" w14:textId="77777777" w:rsidR="00AF3058" w:rsidRDefault="00AF3058">
            <w:r w:rsidRPr="00D331FA">
              <w:t>03978290</w:t>
            </w:r>
          </w:p>
        </w:tc>
      </w:tr>
      <w:tr w:rsidR="00AF3058" w14:paraId="6D9A7058" w14:textId="77777777">
        <w:tc>
          <w:tcPr>
            <w:tcW w:w="4361" w:type="dxa"/>
            <w:shd w:val="clear" w:color="auto" w:fill="auto"/>
          </w:tcPr>
          <w:p w14:paraId="35E94B89" w14:textId="77777777" w:rsidR="00AF3058" w:rsidRDefault="00AF3058">
            <w:r>
              <w:t>Adresa sjedišta obveznika:</w:t>
            </w:r>
          </w:p>
        </w:tc>
        <w:tc>
          <w:tcPr>
            <w:tcW w:w="4927" w:type="dxa"/>
            <w:shd w:val="clear" w:color="auto" w:fill="auto"/>
          </w:tcPr>
          <w:p w14:paraId="52038F39" w14:textId="77777777" w:rsidR="00AF3058" w:rsidRDefault="00AF3058">
            <w:r>
              <w:t>Hrvatskog narodnog preporoda 33</w:t>
            </w:r>
          </w:p>
        </w:tc>
      </w:tr>
      <w:tr w:rsidR="00AF3058" w14:paraId="0AA8E453" w14:textId="77777777">
        <w:tc>
          <w:tcPr>
            <w:tcW w:w="4361" w:type="dxa"/>
            <w:shd w:val="clear" w:color="auto" w:fill="auto"/>
          </w:tcPr>
          <w:p w14:paraId="58D4DCB9" w14:textId="77777777" w:rsidR="00AF3058" w:rsidRDefault="00AF3058">
            <w:r>
              <w:t>OIB:</w:t>
            </w:r>
          </w:p>
        </w:tc>
        <w:tc>
          <w:tcPr>
            <w:tcW w:w="4927" w:type="dxa"/>
            <w:shd w:val="clear" w:color="auto" w:fill="auto"/>
          </w:tcPr>
          <w:p w14:paraId="79248FAD" w14:textId="77777777" w:rsidR="00AF3058" w:rsidRDefault="00AF3058">
            <w:r>
              <w:t>06403374385</w:t>
            </w:r>
          </w:p>
        </w:tc>
      </w:tr>
      <w:tr w:rsidR="00AF3058" w14:paraId="7D389F69" w14:textId="77777777">
        <w:tc>
          <w:tcPr>
            <w:tcW w:w="4361" w:type="dxa"/>
            <w:shd w:val="clear" w:color="auto" w:fill="auto"/>
          </w:tcPr>
          <w:p w14:paraId="0C4BFD07" w14:textId="77777777" w:rsidR="00AF3058" w:rsidRDefault="00AF3058">
            <w:r>
              <w:t>Razina:</w:t>
            </w:r>
          </w:p>
        </w:tc>
        <w:tc>
          <w:tcPr>
            <w:tcW w:w="4927" w:type="dxa"/>
            <w:shd w:val="clear" w:color="auto" w:fill="auto"/>
          </w:tcPr>
          <w:p w14:paraId="5A36A3D9" w14:textId="77777777" w:rsidR="00AF3058" w:rsidRDefault="00AF3058">
            <w:r>
              <w:t>21</w:t>
            </w:r>
          </w:p>
        </w:tc>
      </w:tr>
      <w:tr w:rsidR="00AF3058" w14:paraId="16BB4253" w14:textId="77777777">
        <w:tc>
          <w:tcPr>
            <w:tcW w:w="4361" w:type="dxa"/>
            <w:shd w:val="clear" w:color="auto" w:fill="auto"/>
          </w:tcPr>
          <w:p w14:paraId="00486859" w14:textId="77777777" w:rsidR="00AF3058" w:rsidRDefault="00AF3058">
            <w:r>
              <w:t>Razdjel:</w:t>
            </w:r>
          </w:p>
        </w:tc>
        <w:tc>
          <w:tcPr>
            <w:tcW w:w="4927" w:type="dxa"/>
            <w:shd w:val="clear" w:color="auto" w:fill="auto"/>
          </w:tcPr>
          <w:p w14:paraId="74D7D2B4" w14:textId="77777777" w:rsidR="00AF3058" w:rsidRDefault="00AF3058">
            <w:r w:rsidRPr="00D331FA">
              <w:t>080- Prosvjeta i šport</w:t>
            </w:r>
          </w:p>
        </w:tc>
      </w:tr>
      <w:tr w:rsidR="00AF3058" w14:paraId="67AA6521" w14:textId="77777777">
        <w:tc>
          <w:tcPr>
            <w:tcW w:w="4361" w:type="dxa"/>
            <w:shd w:val="clear" w:color="auto" w:fill="auto"/>
          </w:tcPr>
          <w:p w14:paraId="28EC207A" w14:textId="77777777" w:rsidR="00AF3058" w:rsidRDefault="00AF3058">
            <w:r>
              <w:t>Šifra djelatnosti prema NKD-u 2007:</w:t>
            </w:r>
          </w:p>
        </w:tc>
        <w:tc>
          <w:tcPr>
            <w:tcW w:w="4927" w:type="dxa"/>
            <w:shd w:val="clear" w:color="auto" w:fill="auto"/>
          </w:tcPr>
          <w:p w14:paraId="05A6B640" w14:textId="77777777" w:rsidR="00AF3058" w:rsidRDefault="00AF3058">
            <w:r>
              <w:t>8510 – predškolsko obrazovanje</w:t>
            </w:r>
          </w:p>
        </w:tc>
      </w:tr>
      <w:tr w:rsidR="00AF3058" w14:paraId="69518D7F" w14:textId="77777777">
        <w:tc>
          <w:tcPr>
            <w:tcW w:w="4361" w:type="dxa"/>
            <w:shd w:val="clear" w:color="auto" w:fill="auto"/>
          </w:tcPr>
          <w:p w14:paraId="0EF67F74" w14:textId="77777777" w:rsidR="00AF3058" w:rsidRDefault="00AF3058">
            <w:r>
              <w:t>Šifra županije:</w:t>
            </w:r>
          </w:p>
        </w:tc>
        <w:tc>
          <w:tcPr>
            <w:tcW w:w="4927" w:type="dxa"/>
            <w:shd w:val="clear" w:color="auto" w:fill="auto"/>
          </w:tcPr>
          <w:p w14:paraId="21843E2A" w14:textId="77777777" w:rsidR="00AF3058" w:rsidRDefault="00AF3058">
            <w:r>
              <w:t>3</w:t>
            </w:r>
          </w:p>
        </w:tc>
      </w:tr>
      <w:tr w:rsidR="00AF3058" w14:paraId="4D4C5B25" w14:textId="77777777">
        <w:tc>
          <w:tcPr>
            <w:tcW w:w="4361" w:type="dxa"/>
            <w:shd w:val="clear" w:color="auto" w:fill="auto"/>
          </w:tcPr>
          <w:p w14:paraId="78AE42D6" w14:textId="77777777" w:rsidR="00AF3058" w:rsidRDefault="00AF3058">
            <w:r>
              <w:t>Šifra grada:</w:t>
            </w:r>
          </w:p>
        </w:tc>
        <w:tc>
          <w:tcPr>
            <w:tcW w:w="4927" w:type="dxa"/>
            <w:shd w:val="clear" w:color="auto" w:fill="auto"/>
          </w:tcPr>
          <w:p w14:paraId="5046F5B1" w14:textId="77777777" w:rsidR="00AF3058" w:rsidRDefault="00AF3058">
            <w:r>
              <w:t>391</w:t>
            </w:r>
          </w:p>
        </w:tc>
      </w:tr>
    </w:tbl>
    <w:p w14:paraId="05517E1A" w14:textId="77777777" w:rsidR="00AF3058" w:rsidRDefault="00AF3058" w:rsidP="00AF3058"/>
    <w:p w14:paraId="225F4EE3" w14:textId="77777777" w:rsidR="00AF3058" w:rsidRDefault="00AF3058" w:rsidP="00AF3058"/>
    <w:p w14:paraId="3D623115" w14:textId="77777777" w:rsidR="00AF3058" w:rsidRDefault="00AF3058" w:rsidP="00AF3058"/>
    <w:p w14:paraId="7B01CB91" w14:textId="6BA63E5B" w:rsidR="00AF3058" w:rsidRDefault="00AF3058" w:rsidP="00AF3058">
      <w:pPr>
        <w:jc w:val="center"/>
        <w:rPr>
          <w:b/>
        </w:rPr>
      </w:pPr>
      <w:r w:rsidRPr="004C45E6">
        <w:rPr>
          <w:b/>
        </w:rPr>
        <w:t xml:space="preserve">BILJEŠKE UZ </w:t>
      </w:r>
      <w:r>
        <w:rPr>
          <w:b/>
        </w:rPr>
        <w:t>FINANCIJSKE IZVJEŠTAJE ZA RAZDOBLJE OD 1. SIJEČNJA DO 31. PROSINCA 202</w:t>
      </w:r>
      <w:r w:rsidR="00870471">
        <w:rPr>
          <w:b/>
        </w:rPr>
        <w:t>4</w:t>
      </w:r>
      <w:r>
        <w:rPr>
          <w:b/>
        </w:rPr>
        <w:t>. GODINE</w:t>
      </w:r>
    </w:p>
    <w:p w14:paraId="0EEB6AD2" w14:textId="77777777" w:rsidR="00AF3058" w:rsidRDefault="00AF3058" w:rsidP="00AF3058">
      <w:pPr>
        <w:rPr>
          <w:b/>
        </w:rPr>
      </w:pPr>
    </w:p>
    <w:p w14:paraId="786DB88D" w14:textId="4B9263D5" w:rsidR="00AF3058" w:rsidRPr="003B050F" w:rsidRDefault="00AF3058" w:rsidP="00AF3058">
      <w:pPr>
        <w:jc w:val="both"/>
        <w:rPr>
          <w:bCs/>
        </w:rPr>
      </w:pPr>
      <w:r w:rsidRPr="003B050F">
        <w:rPr>
          <w:bCs/>
        </w:rPr>
        <w:t>Dječji vrtić Sisak Novi je javna predškolska ustanova u sustavu Lokalne riznice Grada Siska</w:t>
      </w:r>
      <w:r>
        <w:rPr>
          <w:bCs/>
        </w:rPr>
        <w:t>, koji skrbi o djeci predškolske dobi od navršene prve godine života do polaska u školu</w:t>
      </w:r>
      <w:r w:rsidR="00870471">
        <w:rPr>
          <w:bCs/>
        </w:rPr>
        <w:t>,</w:t>
      </w:r>
      <w:r>
        <w:rPr>
          <w:bCs/>
        </w:rPr>
        <w:t xml:space="preserve"> u 4 objekta i to kroz redovne</w:t>
      </w:r>
      <w:r w:rsidRPr="003B050F">
        <w:rPr>
          <w:bCs/>
        </w:rPr>
        <w:t xml:space="preserve"> </w:t>
      </w:r>
      <w:r>
        <w:rPr>
          <w:bCs/>
        </w:rPr>
        <w:t xml:space="preserve">programe u trajanju od 7 do 10 sati i trajanju od 4 do 6 sati. </w:t>
      </w:r>
      <w:r w:rsidRPr="003B050F">
        <w:t xml:space="preserve">Pedagošku godinu </w:t>
      </w:r>
      <w:r>
        <w:t>202</w:t>
      </w:r>
      <w:r w:rsidR="00870471">
        <w:t>4</w:t>
      </w:r>
      <w:r>
        <w:t xml:space="preserve">. godine </w:t>
      </w:r>
      <w:r w:rsidRPr="003B050F">
        <w:t>započ</w:t>
      </w:r>
      <w:r>
        <w:t xml:space="preserve">eo je </w:t>
      </w:r>
      <w:r w:rsidRPr="003B050F">
        <w:t>sa 50</w:t>
      </w:r>
      <w:r w:rsidR="00870471">
        <w:t>4</w:t>
      </w:r>
      <w:r w:rsidRPr="003B050F">
        <w:t xml:space="preserve"> djece upisane u 29 odgojno-obrazovn</w:t>
      </w:r>
      <w:r>
        <w:t>e</w:t>
      </w:r>
      <w:r w:rsidRPr="003B050F">
        <w:t xml:space="preserve"> skupina redovnog programa - jasličke dobi i vrtićke dob</w:t>
      </w:r>
      <w:r>
        <w:rPr>
          <w:bCs/>
        </w:rPr>
        <w:t xml:space="preserve">i. </w:t>
      </w:r>
      <w:r w:rsidRPr="003B050F">
        <w:rPr>
          <w:bCs/>
        </w:rPr>
        <w:t>Osnivač Vrtića je Grad Sisak, a osoba ovlaštena za zastupanje je ravnatelj Sandra Kramarić. Osnovan je 22. srpnja 1992. godine, kao pravni sljednik RO Centar za predškolski odgoj „Nada Dimić i Milanka Kljaić“ Sisak.</w:t>
      </w:r>
    </w:p>
    <w:p w14:paraId="244DF741" w14:textId="77777777" w:rsidR="00AF3058" w:rsidRPr="003B050F" w:rsidRDefault="00AF3058" w:rsidP="00AF3058">
      <w:pPr>
        <w:jc w:val="both"/>
      </w:pPr>
    </w:p>
    <w:p w14:paraId="5E13402B" w14:textId="77777777" w:rsidR="00AF3058" w:rsidRPr="003B050F" w:rsidRDefault="00AF3058" w:rsidP="00AF3058">
      <w:pPr>
        <w:jc w:val="both"/>
      </w:pPr>
      <w:r w:rsidRPr="003B050F">
        <w:t>Zakonski okvir sastavljanja financijskih izvještaja:</w:t>
      </w:r>
    </w:p>
    <w:p w14:paraId="23919D5F" w14:textId="77777777" w:rsidR="00AF3058" w:rsidRDefault="00AF3058" w:rsidP="00AF3058">
      <w:pPr>
        <w:jc w:val="both"/>
      </w:pPr>
      <w:r w:rsidRPr="003B050F">
        <w:t>1. Zakon o proračunu (Narodne novine,</w:t>
      </w:r>
      <w:r>
        <w:t xml:space="preserve"> broj 144/21)</w:t>
      </w:r>
    </w:p>
    <w:p w14:paraId="244F00A2" w14:textId="77777777" w:rsidR="00AF3058" w:rsidRDefault="00AF3058" w:rsidP="00AF3058">
      <w:pPr>
        <w:jc w:val="both"/>
      </w:pPr>
      <w:r>
        <w:t>2. Pravilnik o proračunskom računovodstvu i računskom planu (Narodne novine, broj 37/22)</w:t>
      </w:r>
    </w:p>
    <w:p w14:paraId="05D80665" w14:textId="77777777" w:rsidR="00AF3058" w:rsidRDefault="00AF3058" w:rsidP="00AF3058">
      <w:pPr>
        <w:jc w:val="both"/>
      </w:pPr>
      <w:r>
        <w:t>3. Pravilnik o financijskom izvještavanju u proračunskom računovodstvu (Narodne novine, broj 37/22)</w:t>
      </w:r>
    </w:p>
    <w:p w14:paraId="4B7A055E" w14:textId="1D5B5AE9" w:rsidR="00AF3058" w:rsidRDefault="00AF3058" w:rsidP="00AF3058">
      <w:pPr>
        <w:jc w:val="both"/>
      </w:pPr>
      <w:r>
        <w:t>4. Proračun Grada Siska za 202</w:t>
      </w:r>
      <w:r w:rsidR="00870471">
        <w:t>4</w:t>
      </w:r>
      <w:r>
        <w:t>. godinu</w:t>
      </w:r>
    </w:p>
    <w:p w14:paraId="232CB53A" w14:textId="64DA0ACF" w:rsidR="00AF3058" w:rsidRDefault="00AF3058" w:rsidP="00AF3058">
      <w:pPr>
        <w:jc w:val="both"/>
      </w:pPr>
      <w:r>
        <w:t>5. Odluka o izvršavanju proračuna Grada Siska za 202</w:t>
      </w:r>
      <w:r w:rsidR="00870471">
        <w:t>4</w:t>
      </w:r>
      <w:r>
        <w:t>. godinu</w:t>
      </w:r>
    </w:p>
    <w:p w14:paraId="05312FE4" w14:textId="30458F36" w:rsidR="00AF3058" w:rsidRDefault="00AF3058" w:rsidP="00AF3058">
      <w:pPr>
        <w:jc w:val="both"/>
      </w:pPr>
      <w:r>
        <w:t>6. Financijski plan ustanove za 202</w:t>
      </w:r>
      <w:r w:rsidR="00870471">
        <w:t>4</w:t>
      </w:r>
      <w:r>
        <w:t>. godinu kao sastavni dio Proračuna Grada Siska.</w:t>
      </w:r>
    </w:p>
    <w:p w14:paraId="4B06EBAF" w14:textId="77777777" w:rsidR="00AF3058" w:rsidRDefault="00AF3058" w:rsidP="00AF3058">
      <w:pPr>
        <w:jc w:val="both"/>
      </w:pPr>
    </w:p>
    <w:p w14:paraId="638C78B5" w14:textId="5E42E322" w:rsidR="00AF3058" w:rsidRDefault="00AF3058" w:rsidP="00AF3058">
      <w:pPr>
        <w:jc w:val="both"/>
      </w:pPr>
      <w:r>
        <w:rPr>
          <w:bCs/>
        </w:rPr>
        <w:t>Bilješke uz financijske izvještaje sastavni su dio financijskih izvještaja JLP(R)S, proračunskih i izvan proračunskih korisnika sukladno članku 139. Zakona o proračunu (Nar.nov.</w:t>
      </w:r>
      <w:r w:rsidR="00F94229">
        <w:rPr>
          <w:bCs/>
        </w:rPr>
        <w:t xml:space="preserve"> </w:t>
      </w:r>
      <w:r>
        <w:rPr>
          <w:bCs/>
        </w:rPr>
        <w:t>br. 144/21) i članku 14. Pravilnika o financijskom izvještavanju u proračunskom računovodstvu (Nar. nov. br. 37/22).</w:t>
      </w:r>
      <w:r w:rsidRPr="00CF29E3">
        <w:t xml:space="preserve"> </w:t>
      </w:r>
    </w:p>
    <w:p w14:paraId="12840097" w14:textId="6D174A97" w:rsidR="00AF3058" w:rsidRDefault="00AF3058" w:rsidP="00AF3058">
      <w:pPr>
        <w:jc w:val="both"/>
      </w:pPr>
    </w:p>
    <w:p w14:paraId="3195635D" w14:textId="4B11BED3" w:rsidR="00AF3058" w:rsidRDefault="00AF3058" w:rsidP="00AF3058">
      <w:pPr>
        <w:jc w:val="both"/>
      </w:pPr>
    </w:p>
    <w:p w14:paraId="02D28EE8" w14:textId="62C0FD1F" w:rsidR="00AF3058" w:rsidRDefault="00AF3058" w:rsidP="00AF3058">
      <w:pPr>
        <w:jc w:val="both"/>
      </w:pPr>
    </w:p>
    <w:p w14:paraId="20BB79DD" w14:textId="77777777" w:rsidR="00AF3058" w:rsidRDefault="00AF3058" w:rsidP="00AF3058">
      <w:pPr>
        <w:jc w:val="both"/>
      </w:pPr>
    </w:p>
    <w:p w14:paraId="1EFF9352" w14:textId="77777777" w:rsidR="00AF3058" w:rsidRDefault="00AF3058" w:rsidP="00AF3058"/>
    <w:p w14:paraId="4DC362EA" w14:textId="533ED778" w:rsidR="00AF3058" w:rsidRDefault="00AF3058" w:rsidP="00AF3058">
      <w:pPr>
        <w:rPr>
          <w:b/>
        </w:rPr>
      </w:pPr>
      <w:r w:rsidRPr="004C45E6">
        <w:rPr>
          <w:b/>
        </w:rPr>
        <w:t xml:space="preserve">                   </w:t>
      </w:r>
    </w:p>
    <w:p w14:paraId="2CDCFBAC" w14:textId="77777777" w:rsidR="00AF3058" w:rsidRPr="004C45E6" w:rsidRDefault="00AF3058" w:rsidP="00AF3058">
      <w:pPr>
        <w:rPr>
          <w:b/>
        </w:rPr>
      </w:pPr>
    </w:p>
    <w:p w14:paraId="6C836F11" w14:textId="77777777" w:rsidR="004B10D7" w:rsidRDefault="004B10D7" w:rsidP="00AF3058">
      <w:pPr>
        <w:jc w:val="center"/>
        <w:rPr>
          <w:b/>
        </w:rPr>
      </w:pPr>
    </w:p>
    <w:p w14:paraId="48C5DF68" w14:textId="77777777" w:rsidR="004B10D7" w:rsidRDefault="004B10D7" w:rsidP="00AF3058">
      <w:pPr>
        <w:jc w:val="center"/>
        <w:rPr>
          <w:b/>
        </w:rPr>
      </w:pPr>
    </w:p>
    <w:p w14:paraId="5BB698B4" w14:textId="0948CBFA" w:rsidR="00AF3058" w:rsidRPr="004C45E6" w:rsidRDefault="00AF3058" w:rsidP="00AF3058">
      <w:pPr>
        <w:jc w:val="center"/>
        <w:rPr>
          <w:b/>
        </w:rPr>
      </w:pPr>
      <w:r w:rsidRPr="004C45E6">
        <w:rPr>
          <w:b/>
        </w:rPr>
        <w:t>Bilješke uz izvještaj o prihodima i rashodima, primicima i izdacima</w:t>
      </w:r>
    </w:p>
    <w:p w14:paraId="070D083C" w14:textId="77777777" w:rsidR="00AF3058" w:rsidRPr="004C45E6" w:rsidRDefault="00AF3058" w:rsidP="00AF3058">
      <w:pPr>
        <w:jc w:val="center"/>
        <w:rPr>
          <w:b/>
        </w:rPr>
      </w:pPr>
      <w:r w:rsidRPr="004C45E6">
        <w:rPr>
          <w:b/>
        </w:rPr>
        <w:t>PR-RAS</w:t>
      </w:r>
    </w:p>
    <w:p w14:paraId="1A01AD48" w14:textId="77777777" w:rsidR="00AF3058" w:rsidRPr="004C45E6" w:rsidRDefault="00AF3058" w:rsidP="00AF3058"/>
    <w:p w14:paraId="4D616192" w14:textId="086854EE" w:rsidR="00AF3058" w:rsidRDefault="00AF3058" w:rsidP="00AF3058">
      <w:pPr>
        <w:jc w:val="both"/>
        <w:rPr>
          <w:bCs/>
        </w:rPr>
      </w:pPr>
      <w:r w:rsidRPr="008E2B1B">
        <w:rPr>
          <w:bCs/>
        </w:rPr>
        <w:t xml:space="preserve">Ukupni prihodi poslovanja </w:t>
      </w:r>
      <w:r>
        <w:rPr>
          <w:bCs/>
        </w:rPr>
        <w:t>u</w:t>
      </w:r>
      <w:r w:rsidRPr="008E2B1B">
        <w:rPr>
          <w:bCs/>
        </w:rPr>
        <w:t xml:space="preserve"> 202</w:t>
      </w:r>
      <w:r w:rsidR="0095691D">
        <w:rPr>
          <w:bCs/>
        </w:rPr>
        <w:t>4</w:t>
      </w:r>
      <w:r w:rsidRPr="008E2B1B">
        <w:rPr>
          <w:bCs/>
        </w:rPr>
        <w:t>. godin</w:t>
      </w:r>
      <w:r>
        <w:rPr>
          <w:bCs/>
        </w:rPr>
        <w:t xml:space="preserve">i ostvareni su za </w:t>
      </w:r>
      <w:r w:rsidR="00A52A91">
        <w:rPr>
          <w:bCs/>
        </w:rPr>
        <w:t>34,</w:t>
      </w:r>
      <w:r w:rsidR="00C44CC0">
        <w:rPr>
          <w:bCs/>
        </w:rPr>
        <w:t>79</w:t>
      </w:r>
      <w:r>
        <w:rPr>
          <w:bCs/>
        </w:rPr>
        <w:t xml:space="preserve"> % više nego u prošloj godini.</w:t>
      </w:r>
    </w:p>
    <w:p w14:paraId="2BE903A5" w14:textId="77777777" w:rsidR="00AF3058" w:rsidRDefault="00AF3058" w:rsidP="00AF3058">
      <w:pPr>
        <w:jc w:val="both"/>
        <w:rPr>
          <w:bCs/>
        </w:rPr>
      </w:pPr>
      <w:r>
        <w:rPr>
          <w:bCs/>
        </w:rPr>
        <w:t>Unutar ove grupe prihoda evidentirane su promjene u odnosu na isto razdoblje prošle godine kod:</w:t>
      </w:r>
    </w:p>
    <w:p w14:paraId="436E702A" w14:textId="77777777" w:rsidR="001B64CC" w:rsidRDefault="001B64CC" w:rsidP="00AF3058">
      <w:pPr>
        <w:jc w:val="both"/>
        <w:rPr>
          <w:b/>
          <w:highlight w:val="lightGray"/>
        </w:rPr>
      </w:pPr>
    </w:p>
    <w:p w14:paraId="1C3F4BD9" w14:textId="2B4CFC0E" w:rsidR="00D05A79" w:rsidRDefault="00AF3058" w:rsidP="00AF3058">
      <w:pPr>
        <w:jc w:val="both"/>
        <w:rPr>
          <w:bCs/>
        </w:rPr>
      </w:pPr>
      <w:r w:rsidRPr="007476C3">
        <w:rPr>
          <w:b/>
          <w:highlight w:val="lightGray"/>
        </w:rPr>
        <w:t xml:space="preserve">Bilješke uz </w:t>
      </w:r>
      <w:r>
        <w:rPr>
          <w:b/>
          <w:highlight w:val="lightGray"/>
        </w:rPr>
        <w:t>Šifru</w:t>
      </w:r>
      <w:r w:rsidRPr="007476C3">
        <w:rPr>
          <w:bCs/>
          <w:highlight w:val="lightGray"/>
        </w:rPr>
        <w:t xml:space="preserve"> </w:t>
      </w:r>
      <w:r w:rsidRPr="007476C3">
        <w:rPr>
          <w:b/>
          <w:highlight w:val="lightGray"/>
        </w:rPr>
        <w:t>63 Pomoći iz inozemstva i od subjekata unutar općeg proračuna</w:t>
      </w:r>
      <w:r>
        <w:rPr>
          <w:bCs/>
        </w:rPr>
        <w:t xml:space="preserve"> Odstupanja su evidentirana na</w:t>
      </w:r>
      <w:r w:rsidR="00D05A79">
        <w:rPr>
          <w:bCs/>
        </w:rPr>
        <w:t>:</w:t>
      </w:r>
    </w:p>
    <w:p w14:paraId="0050D956" w14:textId="5292C9F3" w:rsidR="00A52A91" w:rsidRDefault="00D05A79" w:rsidP="00AF3058">
      <w:pPr>
        <w:jc w:val="both"/>
      </w:pPr>
      <w:r>
        <w:rPr>
          <w:bCs/>
        </w:rPr>
        <w:t>P</w:t>
      </w:r>
      <w:r w:rsidR="00AF3058">
        <w:rPr>
          <w:bCs/>
        </w:rPr>
        <w:t xml:space="preserve">oziciji </w:t>
      </w:r>
      <w:r w:rsidR="00AF3058" w:rsidRPr="007476C3">
        <w:rPr>
          <w:b/>
        </w:rPr>
        <w:t>6341 – Tekuće pomoći od izvanproračunskih korisnika</w:t>
      </w:r>
      <w:r w:rsidR="00AF3058">
        <w:t xml:space="preserve"> u vidu smanjenja</w:t>
      </w:r>
      <w:r w:rsidR="00A52A91">
        <w:t xml:space="preserve">, </w:t>
      </w:r>
      <w:r w:rsidR="00AF3058">
        <w:t>jer smo u 202</w:t>
      </w:r>
      <w:r w:rsidR="00A52A91">
        <w:t>3</w:t>
      </w:r>
      <w:r w:rsidR="00AF3058">
        <w:t xml:space="preserve">. godini zaprimili </w:t>
      </w:r>
      <w:r w:rsidR="00A52A91">
        <w:t>zaostalu ratu za Erasmus+ projekat u iznosu od 2.178,80</w:t>
      </w:r>
      <w:r w:rsidR="00DE0CD1">
        <w:t xml:space="preserve"> </w:t>
      </w:r>
      <w:r w:rsidR="00A52A91">
        <w:t>€ dok ove godine nismo ostvarili prihode na istoj poziciji.</w:t>
      </w:r>
    </w:p>
    <w:p w14:paraId="45CE3A5E" w14:textId="0F4AC40C" w:rsidR="00AF3058" w:rsidRDefault="00AF3058" w:rsidP="00AF3058">
      <w:pPr>
        <w:jc w:val="both"/>
      </w:pPr>
      <w:r>
        <w:t xml:space="preserve">Na poziciji </w:t>
      </w:r>
      <w:r w:rsidR="00131B21" w:rsidRPr="00131B21">
        <w:rPr>
          <w:b/>
          <w:bCs/>
        </w:rPr>
        <w:t>6361</w:t>
      </w:r>
      <w:r>
        <w:rPr>
          <w:b/>
          <w:bCs/>
        </w:rPr>
        <w:t xml:space="preserve"> – </w:t>
      </w:r>
      <w:r w:rsidR="00131B21">
        <w:rPr>
          <w:b/>
          <w:bCs/>
        </w:rPr>
        <w:t>Tekuće pomoći proračunskim korisnicima iz proračuna koji im nije nadležan</w:t>
      </w:r>
      <w:r>
        <w:rPr>
          <w:b/>
          <w:bCs/>
        </w:rPr>
        <w:t xml:space="preserve">, </w:t>
      </w:r>
      <w:r>
        <w:t>a koj</w:t>
      </w:r>
      <w:r w:rsidR="006676F5">
        <w:t>e</w:t>
      </w:r>
      <w:r>
        <w:t xml:space="preserve"> se odnose na prihode </w:t>
      </w:r>
      <w:r w:rsidR="00D436AD">
        <w:t>iz državnog proračuna</w:t>
      </w:r>
      <w:r w:rsidR="006676F5">
        <w:t>,</w:t>
      </w:r>
      <w:r w:rsidR="00D436AD">
        <w:t xml:space="preserve"> bilježimo povećanje od 29,97% jer smo u 2024. godini zaprimili više sredstava </w:t>
      </w:r>
      <w:r w:rsidR="006676F5">
        <w:t>iz državnog proračuna radi sufinanciranja roditeljskog udjela u cijeni predškolskog odgoja za djecu pripadnike romske nacionalne manjine</w:t>
      </w:r>
      <w:r w:rsidR="00D05A79">
        <w:t>.</w:t>
      </w:r>
    </w:p>
    <w:p w14:paraId="6FCD6BBD" w14:textId="24E3A5D2" w:rsidR="00D05A79" w:rsidRDefault="00D05A79" w:rsidP="00D05A79">
      <w:pPr>
        <w:jc w:val="both"/>
      </w:pPr>
      <w:r>
        <w:t xml:space="preserve">Na poziciji </w:t>
      </w:r>
      <w:r w:rsidRPr="00D05A79">
        <w:rPr>
          <w:b/>
          <w:bCs/>
        </w:rPr>
        <w:t>6382 - Kapitalne pomoći temeljem prijenosa EU sredstava</w:t>
      </w:r>
      <w:r>
        <w:t xml:space="preserve"> bilježimo povećanje jer smo zaprimili bespovratna sredstva Ministarstva regionalnog razvoja i Fondova EU temeljem Ugovora o dodjeli bespovratnih sredstava: „Novi Maslačak“</w:t>
      </w:r>
      <w:r w:rsidR="00740D7D">
        <w:t xml:space="preserve"> </w:t>
      </w:r>
      <w:r>
        <w:t>broj C2.1.R2.I1.01.112 u iznosu od 64.619,57€.</w:t>
      </w:r>
    </w:p>
    <w:p w14:paraId="7253F494" w14:textId="77777777" w:rsidR="001B64CC" w:rsidRDefault="001B64CC" w:rsidP="00D05A79">
      <w:pPr>
        <w:jc w:val="both"/>
      </w:pPr>
    </w:p>
    <w:p w14:paraId="78C1BF57" w14:textId="524AE81D" w:rsidR="001B64CC" w:rsidRDefault="001B64CC" w:rsidP="00D05A79">
      <w:pPr>
        <w:jc w:val="both"/>
      </w:pPr>
      <w:r w:rsidRPr="007476C3">
        <w:rPr>
          <w:b/>
          <w:highlight w:val="lightGray"/>
        </w:rPr>
        <w:t xml:space="preserve">Bilješke uz </w:t>
      </w:r>
      <w:r>
        <w:rPr>
          <w:b/>
          <w:highlight w:val="lightGray"/>
        </w:rPr>
        <w:t>Šifru</w:t>
      </w:r>
      <w:r w:rsidRPr="007476C3">
        <w:rPr>
          <w:b/>
          <w:highlight w:val="lightGray"/>
        </w:rPr>
        <w:t xml:space="preserve"> 6</w:t>
      </w:r>
      <w:r>
        <w:rPr>
          <w:b/>
          <w:highlight w:val="lightGray"/>
        </w:rPr>
        <w:t>5</w:t>
      </w:r>
      <w:r w:rsidRPr="007476C3">
        <w:rPr>
          <w:b/>
          <w:highlight w:val="lightGray"/>
        </w:rPr>
        <w:t xml:space="preserve"> Prihodi od </w:t>
      </w:r>
      <w:r w:rsidRPr="001B64CC">
        <w:rPr>
          <w:b/>
          <w:highlight w:val="lightGray"/>
        </w:rPr>
        <w:t>upravnih i administrativnih pristojbi, pristojbi po posebnim propisima i naknada</w:t>
      </w:r>
    </w:p>
    <w:p w14:paraId="2E2A9A16" w14:textId="36E09847" w:rsidR="00740D7D" w:rsidRDefault="00740D7D" w:rsidP="00D05A79">
      <w:pPr>
        <w:jc w:val="both"/>
      </w:pPr>
      <w:r>
        <w:t xml:space="preserve">Na poziciji </w:t>
      </w:r>
      <w:r>
        <w:rPr>
          <w:b/>
          <w:bCs/>
        </w:rPr>
        <w:t xml:space="preserve">6526 – Ostali nespomenuti prihodi </w:t>
      </w:r>
      <w:r w:rsidRPr="00740D7D">
        <w:t>ostvareni prihodi su</w:t>
      </w:r>
      <w:r>
        <w:rPr>
          <w:b/>
          <w:bCs/>
        </w:rPr>
        <w:t xml:space="preserve"> </w:t>
      </w:r>
      <w:r w:rsidRPr="00740D7D">
        <w:t>u visini</w:t>
      </w:r>
      <w:r>
        <w:rPr>
          <w:b/>
          <w:bCs/>
        </w:rPr>
        <w:t xml:space="preserve"> </w:t>
      </w:r>
      <w:r>
        <w:t>kao i prošle godine.</w:t>
      </w:r>
    </w:p>
    <w:p w14:paraId="13A20AD5" w14:textId="77777777" w:rsidR="00AF3058" w:rsidRPr="004C45E6" w:rsidRDefault="00AF3058" w:rsidP="00AF3058">
      <w:pPr>
        <w:jc w:val="both"/>
      </w:pPr>
      <w:r>
        <w:t xml:space="preserve">  </w:t>
      </w:r>
    </w:p>
    <w:p w14:paraId="4A864952" w14:textId="77777777" w:rsidR="00AF3058" w:rsidRDefault="00AF3058" w:rsidP="00AF3058">
      <w:pPr>
        <w:jc w:val="both"/>
        <w:rPr>
          <w:b/>
        </w:rPr>
      </w:pPr>
      <w:r w:rsidRPr="007476C3">
        <w:rPr>
          <w:b/>
          <w:highlight w:val="lightGray"/>
        </w:rPr>
        <w:t xml:space="preserve">Bilješke uz </w:t>
      </w:r>
      <w:r>
        <w:rPr>
          <w:b/>
          <w:highlight w:val="lightGray"/>
        </w:rPr>
        <w:t>Šifru</w:t>
      </w:r>
      <w:r w:rsidRPr="007476C3">
        <w:rPr>
          <w:b/>
          <w:highlight w:val="lightGray"/>
        </w:rPr>
        <w:t xml:space="preserve"> 66 Prihodi od prodaje proizvoda i robe te pruženih usluga, prihodi od donacija te povrati po protestnim jamstvima</w:t>
      </w:r>
    </w:p>
    <w:p w14:paraId="0501D6A3" w14:textId="6F03F04F" w:rsidR="001B64CC" w:rsidRPr="00740D7D" w:rsidRDefault="001B64CC" w:rsidP="001B64CC">
      <w:pPr>
        <w:jc w:val="both"/>
      </w:pPr>
      <w:r>
        <w:t xml:space="preserve">Na poziciji </w:t>
      </w:r>
      <w:r w:rsidRPr="00740D7D">
        <w:rPr>
          <w:b/>
          <w:bCs/>
        </w:rPr>
        <w:t>6631 – Tekuće donacije</w:t>
      </w:r>
      <w:r>
        <w:rPr>
          <w:b/>
          <w:bCs/>
        </w:rPr>
        <w:t xml:space="preserve"> </w:t>
      </w:r>
      <w:r w:rsidRPr="00740D7D">
        <w:t>bilje</w:t>
      </w:r>
      <w:r>
        <w:t>žimo povećanje jer smo u 2024. godini zaprimili donacije od Euroherc osiguranja u iznosu od 400,00</w:t>
      </w:r>
      <w:r w:rsidR="00E44C8D">
        <w:t xml:space="preserve"> </w:t>
      </w:r>
      <w:r>
        <w:t>€ i od Udruge RTL pomaže djeci za provedbu projekta „Maslačkov istraživački centar“ u iznosu od 7.856,55</w:t>
      </w:r>
      <w:r w:rsidR="00E44C8D">
        <w:t xml:space="preserve"> </w:t>
      </w:r>
      <w:r>
        <w:t>€, dok u 2023. godini nismo primili donacije.</w:t>
      </w:r>
    </w:p>
    <w:p w14:paraId="4E98E578" w14:textId="77777777" w:rsidR="00AF3058" w:rsidRPr="004C45E6" w:rsidRDefault="00AF3058" w:rsidP="00AF3058">
      <w:pPr>
        <w:jc w:val="both"/>
      </w:pPr>
    </w:p>
    <w:p w14:paraId="5AA7FECA" w14:textId="77777777" w:rsidR="00AF3058" w:rsidRDefault="00AF3058" w:rsidP="00AF3058">
      <w:pPr>
        <w:jc w:val="both"/>
        <w:rPr>
          <w:b/>
        </w:rPr>
      </w:pPr>
      <w:r w:rsidRPr="007476C3">
        <w:rPr>
          <w:b/>
          <w:highlight w:val="lightGray"/>
        </w:rPr>
        <w:t xml:space="preserve">Bilješke uz </w:t>
      </w:r>
      <w:r>
        <w:rPr>
          <w:b/>
          <w:highlight w:val="lightGray"/>
        </w:rPr>
        <w:t>Šifru</w:t>
      </w:r>
      <w:r w:rsidRPr="007476C3">
        <w:rPr>
          <w:b/>
          <w:highlight w:val="lightGray"/>
        </w:rPr>
        <w:t xml:space="preserve"> 67 Prihodi iz nadležnog proračuna i od HZZO-a na temelju ugovornih obveza</w:t>
      </w:r>
    </w:p>
    <w:p w14:paraId="79E66F2F" w14:textId="789BF8A6" w:rsidR="00AF3058" w:rsidRDefault="00AF3058" w:rsidP="00AF3058">
      <w:pPr>
        <w:jc w:val="both"/>
      </w:pPr>
      <w:r w:rsidRPr="00140ACB">
        <w:rPr>
          <w:bCs/>
        </w:rPr>
        <w:t>Povećanje u odnosu na isto razdoblje prošle godine kod</w:t>
      </w:r>
      <w:r>
        <w:rPr>
          <w:bCs/>
        </w:rPr>
        <w:t xml:space="preserve"> </w:t>
      </w:r>
      <w:r>
        <w:rPr>
          <w:b/>
        </w:rPr>
        <w:t>6711</w:t>
      </w:r>
      <w:r w:rsidRPr="00E308E6">
        <w:rPr>
          <w:b/>
          <w:bCs/>
        </w:rPr>
        <w:t xml:space="preserve"> – Prihodi iz nadležnog proračuna za financiranje rashoda poslovanja</w:t>
      </w:r>
      <w:r>
        <w:t xml:space="preserve"> za </w:t>
      </w:r>
      <w:r w:rsidR="00B823F4">
        <w:t>39,</w:t>
      </w:r>
      <w:r w:rsidR="00AB23C4">
        <w:t>42</w:t>
      </w:r>
      <w:r>
        <w:t xml:space="preserve">%. Rast prihoda iz nadležnog proračuna </w:t>
      </w:r>
      <w:r w:rsidR="00B823F4">
        <w:t>zbog rasta troškova redovnog poslovanja uslijed povećanja cijena hrane, režijskih troškova, te ostalih materijalnih troškova potrebnih za rad vrtića</w:t>
      </w:r>
      <w:r>
        <w:t>, te je također rezultat rasta plaća zaposlenika</w:t>
      </w:r>
      <w:r w:rsidR="00B823F4">
        <w:t xml:space="preserve"> povećanjem osnovice za obračun plaće, kao i</w:t>
      </w:r>
      <w:r>
        <w:t xml:space="preserve"> isplaćenih prava iz Kolektivnog ugovora za otpremnine i jubilarne nagrade i pomoći za zaposlenike</w:t>
      </w:r>
      <w:r w:rsidR="00B823F4">
        <w:t>.</w:t>
      </w:r>
    </w:p>
    <w:p w14:paraId="18445C2E" w14:textId="77777777" w:rsidR="00AF3058" w:rsidRDefault="00AF3058" w:rsidP="00AF3058"/>
    <w:p w14:paraId="61FAB9EB" w14:textId="77777777" w:rsidR="0044383D" w:rsidRDefault="0044383D" w:rsidP="00AF3058">
      <w:pPr>
        <w:jc w:val="both"/>
        <w:rPr>
          <w:b/>
          <w:bCs/>
          <w:highlight w:val="lightGray"/>
        </w:rPr>
      </w:pPr>
    </w:p>
    <w:p w14:paraId="30BA522C" w14:textId="77777777" w:rsidR="0044383D" w:rsidRDefault="0044383D" w:rsidP="00AF3058">
      <w:pPr>
        <w:jc w:val="both"/>
        <w:rPr>
          <w:b/>
          <w:bCs/>
          <w:highlight w:val="lightGray"/>
        </w:rPr>
      </w:pPr>
    </w:p>
    <w:p w14:paraId="53BFB4D9" w14:textId="77777777" w:rsidR="0044383D" w:rsidRDefault="0044383D" w:rsidP="00AF3058">
      <w:pPr>
        <w:jc w:val="both"/>
        <w:rPr>
          <w:b/>
          <w:bCs/>
          <w:highlight w:val="lightGray"/>
        </w:rPr>
      </w:pPr>
    </w:p>
    <w:p w14:paraId="4DA77F04" w14:textId="77777777" w:rsidR="0044383D" w:rsidRDefault="0044383D" w:rsidP="00AF3058">
      <w:pPr>
        <w:jc w:val="both"/>
        <w:rPr>
          <w:b/>
          <w:bCs/>
          <w:highlight w:val="lightGray"/>
        </w:rPr>
      </w:pPr>
    </w:p>
    <w:p w14:paraId="50DC86B6" w14:textId="77777777" w:rsidR="0044383D" w:rsidRDefault="0044383D" w:rsidP="00AF3058">
      <w:pPr>
        <w:jc w:val="both"/>
        <w:rPr>
          <w:b/>
          <w:bCs/>
          <w:highlight w:val="lightGray"/>
        </w:rPr>
      </w:pPr>
    </w:p>
    <w:p w14:paraId="43138D55" w14:textId="77777777" w:rsidR="004B10D7" w:rsidRDefault="004B10D7" w:rsidP="00AF3058">
      <w:pPr>
        <w:jc w:val="both"/>
        <w:rPr>
          <w:b/>
          <w:bCs/>
          <w:highlight w:val="lightGray"/>
        </w:rPr>
      </w:pPr>
    </w:p>
    <w:p w14:paraId="0B16A3EF" w14:textId="77777777" w:rsidR="004B10D7" w:rsidRDefault="004B10D7" w:rsidP="00AF3058">
      <w:pPr>
        <w:jc w:val="both"/>
        <w:rPr>
          <w:b/>
          <w:bCs/>
          <w:highlight w:val="lightGray"/>
        </w:rPr>
      </w:pPr>
    </w:p>
    <w:p w14:paraId="11911F2A" w14:textId="6021C886" w:rsidR="00AF3058" w:rsidRPr="00874A9E" w:rsidRDefault="00AF3058" w:rsidP="00AF3058">
      <w:pPr>
        <w:jc w:val="both"/>
        <w:rPr>
          <w:b/>
          <w:bCs/>
        </w:rPr>
      </w:pPr>
      <w:r w:rsidRPr="00AF71C8">
        <w:rPr>
          <w:b/>
          <w:bCs/>
          <w:highlight w:val="lightGray"/>
        </w:rPr>
        <w:t xml:space="preserve">Bilješke uz </w:t>
      </w:r>
      <w:r>
        <w:rPr>
          <w:b/>
          <w:bCs/>
          <w:highlight w:val="lightGray"/>
        </w:rPr>
        <w:t>Šifru</w:t>
      </w:r>
      <w:r w:rsidRPr="00AF71C8">
        <w:rPr>
          <w:b/>
          <w:bCs/>
          <w:highlight w:val="lightGray"/>
        </w:rPr>
        <w:t xml:space="preserve"> – 3 Rashodi poslovanja</w:t>
      </w:r>
    </w:p>
    <w:p w14:paraId="0765488E" w14:textId="5F3E435F" w:rsidR="00AF3058" w:rsidRDefault="00AF3058" w:rsidP="00AF3058">
      <w:pPr>
        <w:jc w:val="both"/>
      </w:pPr>
      <w:r w:rsidRPr="004C45E6">
        <w:t>Ukupni rashodi</w:t>
      </w:r>
      <w:r>
        <w:t xml:space="preserve"> poslovanja izvršeni su u iznosu od </w:t>
      </w:r>
      <w:r w:rsidR="00B823F4">
        <w:t>3.159.565,21</w:t>
      </w:r>
      <w:r>
        <w:t xml:space="preserve">€ što čini povećanje za </w:t>
      </w:r>
      <w:r w:rsidR="00B823F4">
        <w:t>17,33</w:t>
      </w:r>
      <w:r>
        <w:t xml:space="preserve">% u odnosu na isto razdoblje prošle godine, te su se </w:t>
      </w:r>
      <w:r w:rsidRPr="004C45E6">
        <w:t>kretali u granicama planiranih iznosa</w:t>
      </w:r>
      <w:r>
        <w:t xml:space="preserve"> </w:t>
      </w:r>
      <w:r w:rsidRPr="004C45E6">
        <w:t xml:space="preserve">sa odstupanjima prema pojedinim  pozicijama kako slijedi: </w:t>
      </w:r>
    </w:p>
    <w:p w14:paraId="539D2F33" w14:textId="77777777" w:rsidR="00AF3058" w:rsidRDefault="00AF3058" w:rsidP="00AF3058">
      <w:pPr>
        <w:jc w:val="both"/>
        <w:rPr>
          <w:b/>
          <w:bCs/>
          <w:highlight w:val="lightGray"/>
        </w:rPr>
      </w:pPr>
    </w:p>
    <w:p w14:paraId="50289988" w14:textId="77777777" w:rsidR="00AF3058" w:rsidRPr="00AF71C8" w:rsidRDefault="00AF3058" w:rsidP="00AF3058">
      <w:pPr>
        <w:jc w:val="both"/>
        <w:rPr>
          <w:b/>
          <w:bCs/>
        </w:rPr>
      </w:pPr>
      <w:r w:rsidRPr="00AF71C8">
        <w:rPr>
          <w:b/>
          <w:bCs/>
          <w:highlight w:val="lightGray"/>
        </w:rPr>
        <w:t xml:space="preserve">Bilješke uz </w:t>
      </w:r>
      <w:r>
        <w:rPr>
          <w:b/>
          <w:bCs/>
          <w:highlight w:val="lightGray"/>
        </w:rPr>
        <w:t>Šifru -</w:t>
      </w:r>
      <w:r w:rsidRPr="00AF71C8">
        <w:rPr>
          <w:b/>
          <w:bCs/>
          <w:highlight w:val="lightGray"/>
        </w:rPr>
        <w:t xml:space="preserve"> 31 Rashodi za zaposlene</w:t>
      </w:r>
    </w:p>
    <w:p w14:paraId="4096E6B9" w14:textId="4CED4BD9" w:rsidR="00AF3058" w:rsidRDefault="00AF3058" w:rsidP="00AF3058">
      <w:pPr>
        <w:jc w:val="both"/>
      </w:pPr>
      <w:r>
        <w:t xml:space="preserve">Na poziciji </w:t>
      </w:r>
      <w:r>
        <w:rPr>
          <w:b/>
          <w:bCs/>
        </w:rPr>
        <w:t xml:space="preserve">3111 – Plaće za redovan rad </w:t>
      </w:r>
      <w:r>
        <w:t xml:space="preserve">bilježimo povećanje zbog </w:t>
      </w:r>
      <w:r w:rsidR="00B823F4">
        <w:t>dva po</w:t>
      </w:r>
      <w:r>
        <w:t xml:space="preserve">rasta </w:t>
      </w:r>
      <w:r w:rsidR="00B823F4">
        <w:t>osnovice</w:t>
      </w:r>
      <w:r>
        <w:t xml:space="preserve"> za obračun plaće zaposlenika, te je iz istog razloga vidljivo i povećanje na poziciji </w:t>
      </w:r>
      <w:r>
        <w:rPr>
          <w:b/>
          <w:bCs/>
        </w:rPr>
        <w:t>3132 – Doprinosi za obvezno zdravstveno osiguranje.</w:t>
      </w:r>
    </w:p>
    <w:p w14:paraId="57E252A0" w14:textId="2088A42F" w:rsidR="00AF3058" w:rsidRDefault="00AF3058" w:rsidP="00AF3058">
      <w:pPr>
        <w:jc w:val="both"/>
      </w:pPr>
    </w:p>
    <w:p w14:paraId="3881A88A" w14:textId="158C4DF5" w:rsidR="00AF3058" w:rsidRPr="00E308E6" w:rsidRDefault="00AF3058" w:rsidP="00AF3058">
      <w:pPr>
        <w:jc w:val="both"/>
        <w:rPr>
          <w:b/>
          <w:bCs/>
        </w:rPr>
      </w:pPr>
      <w:r w:rsidRPr="00E308E6">
        <w:rPr>
          <w:b/>
          <w:bCs/>
          <w:highlight w:val="lightGray"/>
        </w:rPr>
        <w:t xml:space="preserve">Bilješke uz </w:t>
      </w:r>
      <w:r>
        <w:rPr>
          <w:b/>
          <w:bCs/>
          <w:highlight w:val="lightGray"/>
        </w:rPr>
        <w:t>Šifru -</w:t>
      </w:r>
      <w:r w:rsidRPr="00E308E6">
        <w:rPr>
          <w:b/>
          <w:bCs/>
          <w:highlight w:val="lightGray"/>
        </w:rPr>
        <w:t xml:space="preserve"> 32 </w:t>
      </w:r>
      <w:r w:rsidR="0078502F">
        <w:rPr>
          <w:b/>
          <w:bCs/>
          <w:highlight w:val="lightGray"/>
        </w:rPr>
        <w:t>M</w:t>
      </w:r>
      <w:r w:rsidRPr="00E308E6">
        <w:rPr>
          <w:b/>
          <w:bCs/>
          <w:highlight w:val="lightGray"/>
        </w:rPr>
        <w:t>aterijalni rashodi</w:t>
      </w:r>
    </w:p>
    <w:p w14:paraId="612B81BC" w14:textId="49D6303A" w:rsidR="00AF3058" w:rsidRDefault="00AF3058" w:rsidP="003837B6">
      <w:pPr>
        <w:jc w:val="both"/>
      </w:pPr>
      <w:r w:rsidRPr="00E308E6">
        <w:t>Na poziciji</w:t>
      </w:r>
      <w:r>
        <w:rPr>
          <w:b/>
          <w:bCs/>
        </w:rPr>
        <w:t xml:space="preserve"> 3211 - </w:t>
      </w:r>
      <w:r w:rsidRPr="00A943B5">
        <w:rPr>
          <w:b/>
          <w:bCs/>
        </w:rPr>
        <w:t>Službena putovanja</w:t>
      </w:r>
      <w:r>
        <w:rPr>
          <w:b/>
          <w:bCs/>
        </w:rPr>
        <w:t xml:space="preserve"> </w:t>
      </w:r>
      <w:r w:rsidRPr="00A32DF3">
        <w:t>bilježimo smanjenje</w:t>
      </w:r>
      <w:r>
        <w:t xml:space="preserve"> iz razloga što se u 202</w:t>
      </w:r>
      <w:r w:rsidR="00F431C8">
        <w:t>4</w:t>
      </w:r>
      <w:r>
        <w:t>. godini</w:t>
      </w:r>
      <w:r w:rsidR="00F431C8">
        <w:t xml:space="preserve"> manje putovalo nego u godini prije.</w:t>
      </w:r>
      <w:r>
        <w:t xml:space="preserve"> </w:t>
      </w:r>
    </w:p>
    <w:p w14:paraId="5D1CEDB3" w14:textId="15159C18" w:rsidR="00AF3058" w:rsidRDefault="00AF3058" w:rsidP="003837B6">
      <w:pPr>
        <w:jc w:val="both"/>
      </w:pPr>
      <w:r>
        <w:t xml:space="preserve">Na poziciji  </w:t>
      </w:r>
      <w:r>
        <w:rPr>
          <w:b/>
          <w:bCs/>
        </w:rPr>
        <w:t>322</w:t>
      </w:r>
      <w:r w:rsidR="00F431C8">
        <w:rPr>
          <w:b/>
          <w:bCs/>
        </w:rPr>
        <w:t>1</w:t>
      </w:r>
      <w:r>
        <w:rPr>
          <w:b/>
          <w:bCs/>
        </w:rPr>
        <w:t xml:space="preserve"> – </w:t>
      </w:r>
      <w:r w:rsidR="00F431C8">
        <w:rPr>
          <w:b/>
          <w:bCs/>
        </w:rPr>
        <w:t>Uredski materijal i ostali materijalni rashodi</w:t>
      </w:r>
      <w:r>
        <w:rPr>
          <w:b/>
          <w:bCs/>
        </w:rPr>
        <w:t xml:space="preserve"> </w:t>
      </w:r>
      <w:r w:rsidRPr="00E308E6">
        <w:t>bilježimo povećanje</w:t>
      </w:r>
      <w:r w:rsidR="00F431C8">
        <w:t xml:space="preserve"> </w:t>
      </w:r>
      <w:r>
        <w:t xml:space="preserve">zbog opremanja odgojnih skupina </w:t>
      </w:r>
      <w:r w:rsidR="00F431C8">
        <w:t>didaktikom.</w:t>
      </w:r>
    </w:p>
    <w:p w14:paraId="546559E8" w14:textId="4C1564EB" w:rsidR="00F431C8" w:rsidRDefault="003837B6" w:rsidP="003837B6">
      <w:pPr>
        <w:jc w:val="both"/>
      </w:pPr>
      <w:r>
        <w:t>Na p</w:t>
      </w:r>
      <w:r w:rsidR="00AF3058">
        <w:t>ozicij</w:t>
      </w:r>
      <w:r>
        <w:t>i</w:t>
      </w:r>
      <w:r w:rsidR="00AF3058">
        <w:t xml:space="preserve"> </w:t>
      </w:r>
      <w:r w:rsidR="00AF3058">
        <w:rPr>
          <w:b/>
          <w:bCs/>
        </w:rPr>
        <w:t>32</w:t>
      </w:r>
      <w:r w:rsidR="00F431C8">
        <w:rPr>
          <w:b/>
          <w:bCs/>
        </w:rPr>
        <w:t>22</w:t>
      </w:r>
      <w:r w:rsidR="00AF3058">
        <w:rPr>
          <w:b/>
          <w:bCs/>
        </w:rPr>
        <w:t xml:space="preserve"> </w:t>
      </w:r>
      <w:r w:rsidR="00F431C8">
        <w:t>–</w:t>
      </w:r>
      <w:r w:rsidR="00AF3058" w:rsidRPr="00FC5C62">
        <w:t xml:space="preserve"> </w:t>
      </w:r>
      <w:r w:rsidR="00F431C8">
        <w:rPr>
          <w:b/>
          <w:bCs/>
        </w:rPr>
        <w:t>Materijal i sirovine</w:t>
      </w:r>
      <w:r w:rsidR="00AF3058">
        <w:t xml:space="preserve"> bilježimo povećanje</w:t>
      </w:r>
      <w:r>
        <w:t xml:space="preserve"> od 11,64%</w:t>
      </w:r>
      <w:r w:rsidR="00AF3058">
        <w:t xml:space="preserve"> zbog </w:t>
      </w:r>
      <w:r w:rsidR="00F431C8">
        <w:t>rasta cijena hrane</w:t>
      </w:r>
      <w:r>
        <w:t xml:space="preserve"> i prehrambenih proizvoda.</w:t>
      </w:r>
    </w:p>
    <w:p w14:paraId="24807AF5" w14:textId="07214A5E" w:rsidR="003837B6" w:rsidRDefault="003837B6" w:rsidP="003837B6">
      <w:pPr>
        <w:jc w:val="both"/>
      </w:pPr>
      <w:r>
        <w:t xml:space="preserve">Na poziciji </w:t>
      </w:r>
      <w:r w:rsidRPr="003837B6">
        <w:rPr>
          <w:b/>
          <w:bCs/>
        </w:rPr>
        <w:t>3224 - Materijal i dijelovi za tekuće i investicijsko održavanje</w:t>
      </w:r>
      <w:r>
        <w:t xml:space="preserve"> povećanje je rezultat</w:t>
      </w:r>
    </w:p>
    <w:p w14:paraId="6C58588B" w14:textId="367962A6" w:rsidR="003837B6" w:rsidRDefault="003837B6" w:rsidP="003837B6">
      <w:pPr>
        <w:jc w:val="both"/>
      </w:pPr>
      <w:r>
        <w:t xml:space="preserve">popravka i održavanja opreme na objektu Osnovne škole Crnac koji je bilo potrebno osposobiti za rad kako bi u njega mogli smjestiti djecu iz objekta Maslačak koji ide u rekonstrukciju. Isti razlozi odnose se i na povećanje na poziciji </w:t>
      </w:r>
      <w:r w:rsidRPr="003837B6">
        <w:rPr>
          <w:b/>
          <w:bCs/>
        </w:rPr>
        <w:t>3225 – Sitni inventar i auto gume</w:t>
      </w:r>
      <w:r>
        <w:t>.</w:t>
      </w:r>
    </w:p>
    <w:p w14:paraId="0A1F7DAE" w14:textId="2D4655E5" w:rsidR="00F431C8" w:rsidRDefault="003837B6" w:rsidP="003837B6">
      <w:pPr>
        <w:jc w:val="both"/>
      </w:pPr>
      <w:r>
        <w:t xml:space="preserve">Na poziciji </w:t>
      </w:r>
      <w:r w:rsidRPr="003837B6">
        <w:rPr>
          <w:b/>
          <w:bCs/>
        </w:rPr>
        <w:t>3232 – Usluge tekućeg i investicijskog održavanja</w:t>
      </w:r>
      <w:r>
        <w:t xml:space="preserve"> bilježi se povećanje od 112,30%, a koje je također vezano za usluge popravaka i radova na objektu Crnac, te popravka </w:t>
      </w:r>
      <w:r w:rsidR="00880CDA">
        <w:t>perilice suđa i plinske peći na objektu Radost, te ugradnju sustava tehničke zaštite.</w:t>
      </w:r>
    </w:p>
    <w:p w14:paraId="33B0DC57" w14:textId="2F03AA10" w:rsidR="003837B6" w:rsidRPr="003837B6" w:rsidRDefault="003837B6" w:rsidP="00AF3058">
      <w:pPr>
        <w:jc w:val="both"/>
      </w:pPr>
      <w:r>
        <w:t xml:space="preserve">Na poziciji </w:t>
      </w:r>
      <w:r>
        <w:rPr>
          <w:b/>
          <w:bCs/>
        </w:rPr>
        <w:t xml:space="preserve">3227 - Službena, radna i zaštitna odjeća i obuća </w:t>
      </w:r>
      <w:r>
        <w:t>povećanje je rezultat kupnje klompi za sve zaposlenike.</w:t>
      </w:r>
    </w:p>
    <w:p w14:paraId="13AEC60F" w14:textId="6EA8833A" w:rsidR="003837B6" w:rsidRDefault="003837B6" w:rsidP="00AF3058">
      <w:pPr>
        <w:jc w:val="both"/>
      </w:pPr>
      <w:r>
        <w:t xml:space="preserve">Na poziciji </w:t>
      </w:r>
      <w:r>
        <w:rPr>
          <w:b/>
          <w:bCs/>
        </w:rPr>
        <w:t xml:space="preserve">3234 - Komunalne usluge </w:t>
      </w:r>
      <w:r w:rsidR="007354B3">
        <w:t>bilježimo porast zbog usluga obrezivanja stabala na objektima Radost, Maslačak i Tratinčica, te odvoza glomaznog otpada sa objekta Maslačak zbog rekonstrukcije i nadogradnje istog.</w:t>
      </w:r>
    </w:p>
    <w:p w14:paraId="65D3A8DE" w14:textId="40E7004E" w:rsidR="007354B3" w:rsidRDefault="007354B3" w:rsidP="00AF3058">
      <w:pPr>
        <w:jc w:val="both"/>
      </w:pPr>
      <w:r>
        <w:t xml:space="preserve">Na poziciji </w:t>
      </w:r>
      <w:r>
        <w:rPr>
          <w:b/>
          <w:bCs/>
        </w:rPr>
        <w:t>3235 – Zakupnine i najamnine</w:t>
      </w:r>
      <w:r>
        <w:t xml:space="preserve"> povećanje od 360,73% razlog je zakupa poslovnog prostora za skladištenje </w:t>
      </w:r>
      <w:r w:rsidR="00E230A8">
        <w:t xml:space="preserve">arhivske </w:t>
      </w:r>
      <w:r>
        <w:t xml:space="preserve">dokumentacije </w:t>
      </w:r>
      <w:r w:rsidR="00E230A8">
        <w:t>s objekta Maslačak koji je u rekonstrukciji.</w:t>
      </w:r>
    </w:p>
    <w:p w14:paraId="4F1F7468" w14:textId="19ACFED7" w:rsidR="00E230A8" w:rsidRPr="00E230A8" w:rsidRDefault="00E230A8" w:rsidP="00AF3058">
      <w:pPr>
        <w:jc w:val="both"/>
      </w:pPr>
      <w:r>
        <w:t xml:space="preserve">Na poziciji </w:t>
      </w:r>
      <w:r>
        <w:rPr>
          <w:b/>
          <w:bCs/>
        </w:rPr>
        <w:t xml:space="preserve">3236 – Zdravstvene i veterinarske usluge  </w:t>
      </w:r>
      <w:r w:rsidRPr="00E230A8">
        <w:t>bilježimo povećanje zbog</w:t>
      </w:r>
      <w:r>
        <w:rPr>
          <w:b/>
          <w:bCs/>
        </w:rPr>
        <w:t xml:space="preserve"> </w:t>
      </w:r>
      <w:r w:rsidRPr="005962BC">
        <w:t>obavljanja</w:t>
      </w:r>
      <w:r>
        <w:rPr>
          <w:b/>
          <w:bCs/>
        </w:rPr>
        <w:t xml:space="preserve"> </w:t>
      </w:r>
      <w:r w:rsidRPr="00E230A8">
        <w:t>sistematskih pregleda svih zaposlenika</w:t>
      </w:r>
      <w:r w:rsidR="005962BC">
        <w:t xml:space="preserve"> prema Kolektivnom ugovoru</w:t>
      </w:r>
      <w:r>
        <w:t xml:space="preserve">. </w:t>
      </w:r>
    </w:p>
    <w:p w14:paraId="39D7D527" w14:textId="350CD31F" w:rsidR="00AF3058" w:rsidRDefault="00E230A8" w:rsidP="005962BC">
      <w:pPr>
        <w:jc w:val="both"/>
        <w:rPr>
          <w:b/>
          <w:bCs/>
        </w:rPr>
      </w:pPr>
      <w:r>
        <w:t>Na p</w:t>
      </w:r>
      <w:r w:rsidR="00AF3058">
        <w:t>ozicij</w:t>
      </w:r>
      <w:r>
        <w:t>i</w:t>
      </w:r>
      <w:r w:rsidR="00AF3058">
        <w:t xml:space="preserve"> </w:t>
      </w:r>
      <w:r w:rsidR="00AF3058" w:rsidRPr="00FC5C62">
        <w:rPr>
          <w:b/>
          <w:bCs/>
        </w:rPr>
        <w:t>323</w:t>
      </w:r>
      <w:r>
        <w:rPr>
          <w:b/>
          <w:bCs/>
        </w:rPr>
        <w:t>7</w:t>
      </w:r>
      <w:r w:rsidR="00AF3058" w:rsidRPr="00FC5C62">
        <w:rPr>
          <w:b/>
          <w:bCs/>
        </w:rPr>
        <w:t xml:space="preserve"> – </w:t>
      </w:r>
      <w:r>
        <w:rPr>
          <w:b/>
          <w:bCs/>
        </w:rPr>
        <w:t>Intelektualne i osobne usluge</w:t>
      </w:r>
      <w:r w:rsidR="00AF3058">
        <w:t xml:space="preserve"> </w:t>
      </w:r>
      <w:r>
        <w:t xml:space="preserve">bilježimo smanjenje od 79,34% jer smo u 2023. godini imali </w:t>
      </w:r>
      <w:r w:rsidR="005962BC">
        <w:t xml:space="preserve">više isplata autorskih ugovora i </w:t>
      </w:r>
      <w:r>
        <w:t xml:space="preserve">izradu elaborata za rekonstrukciju i nadogradnju objekta Maslačak, dok su u 2024. godini uobičajeni </w:t>
      </w:r>
      <w:r w:rsidR="005962BC" w:rsidRPr="005962BC">
        <w:t>ugovor</w:t>
      </w:r>
      <w:r w:rsidR="005962BC">
        <w:t>i</w:t>
      </w:r>
      <w:r w:rsidR="005962BC" w:rsidRPr="005962BC">
        <w:t xml:space="preserve"> o djelu za romske prevoditelje za</w:t>
      </w:r>
      <w:r w:rsidR="005962BC">
        <w:t xml:space="preserve"> djecu romskih manjina u programu predškole.</w:t>
      </w:r>
    </w:p>
    <w:p w14:paraId="64122FDF" w14:textId="65502657" w:rsidR="00AF3058" w:rsidRPr="0078502F" w:rsidRDefault="00AF3058" w:rsidP="00AF3058">
      <w:pPr>
        <w:jc w:val="both"/>
      </w:pPr>
      <w:r>
        <w:t xml:space="preserve">Povećanje ostalih nespomenutih rashoda poslovanja rezultat je povećanja </w:t>
      </w:r>
      <w:r w:rsidR="00880CDA">
        <w:t xml:space="preserve">na </w:t>
      </w:r>
      <w:r>
        <w:t xml:space="preserve">pozicija </w:t>
      </w:r>
      <w:r w:rsidRPr="00706D20">
        <w:rPr>
          <w:b/>
          <w:bCs/>
        </w:rPr>
        <w:t>329</w:t>
      </w:r>
      <w:r w:rsidR="00880CDA">
        <w:rPr>
          <w:b/>
          <w:bCs/>
        </w:rPr>
        <w:t>2</w:t>
      </w:r>
      <w:r>
        <w:t xml:space="preserve"> </w:t>
      </w:r>
      <w:r w:rsidRPr="00FC5C62">
        <w:rPr>
          <w:b/>
          <w:bCs/>
        </w:rPr>
        <w:t xml:space="preserve">– </w:t>
      </w:r>
      <w:r w:rsidR="00880CDA">
        <w:rPr>
          <w:b/>
          <w:bCs/>
        </w:rPr>
        <w:t>Premije osiguranja</w:t>
      </w:r>
      <w:r>
        <w:rPr>
          <w:b/>
          <w:bCs/>
        </w:rPr>
        <w:t xml:space="preserve"> </w:t>
      </w:r>
      <w:r w:rsidR="00880CDA" w:rsidRPr="00880CDA">
        <w:t>zbog povećanja opsega osiguranja</w:t>
      </w:r>
      <w:r w:rsidR="00880CDA">
        <w:rPr>
          <w:b/>
          <w:bCs/>
        </w:rPr>
        <w:t xml:space="preserve"> </w:t>
      </w:r>
      <w:r w:rsidR="00880CDA" w:rsidRPr="00880CDA">
        <w:t>i na poziciji</w:t>
      </w:r>
      <w:r w:rsidR="00880CDA">
        <w:rPr>
          <w:b/>
          <w:bCs/>
        </w:rPr>
        <w:t xml:space="preserve"> 3293 – Reprezentacija </w:t>
      </w:r>
      <w:r w:rsidR="0078502F" w:rsidRPr="0078502F">
        <w:t>zbog većeg broja stručnih skupova u 2024. godini.</w:t>
      </w:r>
    </w:p>
    <w:p w14:paraId="4912AEF3" w14:textId="77777777" w:rsidR="00880CDA" w:rsidRDefault="00880CDA" w:rsidP="00AF3058">
      <w:pPr>
        <w:jc w:val="both"/>
        <w:rPr>
          <w:b/>
          <w:bCs/>
        </w:rPr>
      </w:pPr>
    </w:p>
    <w:p w14:paraId="5484767F" w14:textId="77777777" w:rsidR="0078502F" w:rsidRDefault="0078502F" w:rsidP="0078502F">
      <w:pPr>
        <w:jc w:val="both"/>
        <w:rPr>
          <w:b/>
          <w:bCs/>
          <w:highlight w:val="lightGray"/>
        </w:rPr>
      </w:pPr>
    </w:p>
    <w:p w14:paraId="2D585988" w14:textId="77777777" w:rsidR="0078502F" w:rsidRDefault="0078502F" w:rsidP="0078502F">
      <w:pPr>
        <w:jc w:val="both"/>
        <w:rPr>
          <w:b/>
          <w:bCs/>
          <w:highlight w:val="lightGray"/>
        </w:rPr>
      </w:pPr>
    </w:p>
    <w:p w14:paraId="1C433D7F" w14:textId="77777777" w:rsidR="0078502F" w:rsidRDefault="0078502F" w:rsidP="0078502F">
      <w:pPr>
        <w:jc w:val="both"/>
        <w:rPr>
          <w:b/>
          <w:bCs/>
          <w:highlight w:val="lightGray"/>
        </w:rPr>
      </w:pPr>
    </w:p>
    <w:p w14:paraId="3927F6BB" w14:textId="77777777" w:rsidR="004B10D7" w:rsidRDefault="004B10D7" w:rsidP="0078502F">
      <w:pPr>
        <w:jc w:val="both"/>
        <w:rPr>
          <w:b/>
          <w:bCs/>
          <w:highlight w:val="lightGray"/>
        </w:rPr>
      </w:pPr>
    </w:p>
    <w:p w14:paraId="71EB4B54" w14:textId="77777777" w:rsidR="004B10D7" w:rsidRDefault="004B10D7" w:rsidP="0078502F">
      <w:pPr>
        <w:jc w:val="both"/>
        <w:rPr>
          <w:b/>
          <w:bCs/>
          <w:highlight w:val="lightGray"/>
        </w:rPr>
      </w:pPr>
    </w:p>
    <w:p w14:paraId="60D96A0E" w14:textId="4D31287E" w:rsidR="0078502F" w:rsidRDefault="0078502F" w:rsidP="0078502F">
      <w:pPr>
        <w:jc w:val="both"/>
        <w:rPr>
          <w:b/>
          <w:bCs/>
        </w:rPr>
      </w:pPr>
      <w:r w:rsidRPr="00E308E6">
        <w:rPr>
          <w:b/>
          <w:bCs/>
          <w:highlight w:val="lightGray"/>
        </w:rPr>
        <w:t xml:space="preserve">Bilješke uz </w:t>
      </w:r>
      <w:r>
        <w:rPr>
          <w:b/>
          <w:bCs/>
          <w:highlight w:val="lightGray"/>
        </w:rPr>
        <w:t>Šifru -</w:t>
      </w:r>
      <w:r w:rsidRPr="00E308E6">
        <w:rPr>
          <w:b/>
          <w:bCs/>
          <w:highlight w:val="lightGray"/>
        </w:rPr>
        <w:t xml:space="preserve"> 3</w:t>
      </w:r>
      <w:r>
        <w:rPr>
          <w:b/>
          <w:bCs/>
          <w:highlight w:val="lightGray"/>
        </w:rPr>
        <w:t>4</w:t>
      </w:r>
      <w:r w:rsidRPr="00E308E6">
        <w:rPr>
          <w:b/>
          <w:bCs/>
          <w:highlight w:val="lightGray"/>
        </w:rPr>
        <w:t xml:space="preserve"> </w:t>
      </w:r>
      <w:r>
        <w:rPr>
          <w:b/>
          <w:bCs/>
          <w:highlight w:val="lightGray"/>
        </w:rPr>
        <w:t xml:space="preserve">Financijski </w:t>
      </w:r>
      <w:r w:rsidRPr="00E308E6">
        <w:rPr>
          <w:b/>
          <w:bCs/>
          <w:highlight w:val="lightGray"/>
        </w:rPr>
        <w:t>rashodi</w:t>
      </w:r>
    </w:p>
    <w:p w14:paraId="4870AD95" w14:textId="076A54A7" w:rsidR="0078502F" w:rsidRPr="0078502F" w:rsidRDefault="0078502F" w:rsidP="0078502F">
      <w:pPr>
        <w:jc w:val="both"/>
      </w:pPr>
      <w:r>
        <w:rPr>
          <w:b/>
          <w:bCs/>
        </w:rPr>
        <w:t xml:space="preserve">Na poziciji </w:t>
      </w:r>
      <w:r w:rsidRPr="0078502F">
        <w:rPr>
          <w:b/>
          <w:bCs/>
        </w:rPr>
        <w:t>3434 – Ostali nespomenuti financijski rashodi</w:t>
      </w:r>
      <w:r>
        <w:rPr>
          <w:b/>
          <w:bCs/>
        </w:rPr>
        <w:t xml:space="preserve"> </w:t>
      </w:r>
      <w:r w:rsidRPr="0078502F">
        <w:t>bilježimo</w:t>
      </w:r>
      <w:r>
        <w:rPr>
          <w:b/>
          <w:bCs/>
        </w:rPr>
        <w:t xml:space="preserve"> </w:t>
      </w:r>
      <w:r>
        <w:t>smanjenje 100% jer u 2024. godini nismo imali financijskih rashoda.</w:t>
      </w:r>
    </w:p>
    <w:p w14:paraId="28C3724D" w14:textId="77777777" w:rsidR="00AF3058" w:rsidRDefault="00AF3058" w:rsidP="00AF3058">
      <w:pPr>
        <w:jc w:val="both"/>
      </w:pPr>
    </w:p>
    <w:p w14:paraId="7C3676BE" w14:textId="77777777" w:rsidR="00AF3058" w:rsidRDefault="00AF3058" w:rsidP="00AF3058">
      <w:pPr>
        <w:jc w:val="both"/>
        <w:rPr>
          <w:b/>
          <w:bCs/>
        </w:rPr>
      </w:pPr>
      <w:r w:rsidRPr="009930BA">
        <w:rPr>
          <w:b/>
          <w:bCs/>
          <w:highlight w:val="lightGray"/>
        </w:rPr>
        <w:t xml:space="preserve">Bilješke uz </w:t>
      </w:r>
      <w:r>
        <w:rPr>
          <w:b/>
          <w:bCs/>
          <w:highlight w:val="lightGray"/>
        </w:rPr>
        <w:t>Šifru</w:t>
      </w:r>
      <w:r w:rsidRPr="009930BA">
        <w:rPr>
          <w:b/>
          <w:bCs/>
          <w:highlight w:val="lightGray"/>
        </w:rPr>
        <w:t xml:space="preserve"> 4 – Rashodi za nabavu nefinancijske imovine</w:t>
      </w:r>
    </w:p>
    <w:p w14:paraId="58BDCD58" w14:textId="2C62A203" w:rsidR="00246B83" w:rsidRPr="00246B83" w:rsidRDefault="0078502F" w:rsidP="00246B83">
      <w:pPr>
        <w:shd w:val="clear" w:color="auto" w:fill="FFFFFF" w:themeFill="background1"/>
        <w:jc w:val="both"/>
        <w:rPr>
          <w:bCs/>
        </w:rPr>
      </w:pPr>
      <w:r>
        <w:t xml:space="preserve">Na poziciji </w:t>
      </w:r>
      <w:r w:rsidR="00246B83">
        <w:t xml:space="preserve">422 – Postrojenje i oprema bilježimo porast u odnosu na isto razdoblje prošle godine. </w:t>
      </w:r>
      <w:r w:rsidR="00246B83" w:rsidRPr="00246B83">
        <w:rPr>
          <w:bCs/>
        </w:rPr>
        <w:t>Povećanje je nastalo zbog kupnje vrtne kućice u iznosu i istraživačkog stola za projekt „Maslačkov istraživački centar“ kupljenih iz donacije RTL pomaže djeci</w:t>
      </w:r>
      <w:r w:rsidR="00246B83">
        <w:rPr>
          <w:bCs/>
        </w:rPr>
        <w:t>, te zbog kupnje dostavnog vozila.</w:t>
      </w:r>
    </w:p>
    <w:p w14:paraId="67089D4C" w14:textId="77777777" w:rsidR="00AF3058" w:rsidRDefault="00AF3058" w:rsidP="00AF3058">
      <w:pPr>
        <w:jc w:val="both"/>
      </w:pPr>
    </w:p>
    <w:p w14:paraId="508762D8" w14:textId="4DF24B76" w:rsidR="00AF3058" w:rsidRDefault="00AF3058" w:rsidP="00AF3058">
      <w:pPr>
        <w:jc w:val="both"/>
        <w:rPr>
          <w:u w:val="single"/>
        </w:rPr>
      </w:pPr>
      <w:r>
        <w:rPr>
          <w:u w:val="single"/>
        </w:rPr>
        <w:t xml:space="preserve">Tablica: </w:t>
      </w:r>
      <w:r w:rsidRPr="003A73E8">
        <w:rPr>
          <w:u w:val="single"/>
        </w:rPr>
        <w:t>Struktura ukupnih rashoda i izdataka za razdoblje od 202</w:t>
      </w:r>
      <w:r w:rsidR="00246B83">
        <w:rPr>
          <w:u w:val="single"/>
        </w:rPr>
        <w:t>2</w:t>
      </w:r>
      <w:r w:rsidRPr="003A73E8">
        <w:rPr>
          <w:u w:val="single"/>
        </w:rPr>
        <w:t>. godine do 202</w:t>
      </w:r>
      <w:r w:rsidR="00246B83">
        <w:rPr>
          <w:u w:val="single"/>
        </w:rPr>
        <w:t>4</w:t>
      </w:r>
      <w:r w:rsidRPr="003A73E8">
        <w:rPr>
          <w:u w:val="single"/>
        </w:rPr>
        <w:t>. godine</w:t>
      </w:r>
    </w:p>
    <w:p w14:paraId="74E7EA6F" w14:textId="77777777" w:rsidR="00AF3058" w:rsidRPr="00F8290E" w:rsidRDefault="00AF3058" w:rsidP="00AF3058">
      <w:pPr>
        <w:jc w:val="right"/>
      </w:pPr>
      <w:r w:rsidRPr="00F8290E">
        <w:t xml:space="preserve">u </w:t>
      </w:r>
      <w:r>
        <w:t xml:space="preserve">00 </w:t>
      </w:r>
      <w:r w:rsidRPr="00F8290E">
        <w:t>eur</w:t>
      </w:r>
      <w:r>
        <w:t>a</w:t>
      </w:r>
    </w:p>
    <w:p w14:paraId="001988BB" w14:textId="77777777" w:rsidR="00AF3058" w:rsidRDefault="00AF3058" w:rsidP="00AF3058">
      <w:pPr>
        <w:jc w:val="both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AF3058" w14:paraId="00325F54" w14:textId="77777777">
        <w:tc>
          <w:tcPr>
            <w:tcW w:w="1857" w:type="dxa"/>
          </w:tcPr>
          <w:p w14:paraId="6E9F30B1" w14:textId="77777777" w:rsidR="00AF3058" w:rsidRDefault="00AF30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Razred</w:t>
            </w:r>
          </w:p>
        </w:tc>
        <w:tc>
          <w:tcPr>
            <w:tcW w:w="1857" w:type="dxa"/>
          </w:tcPr>
          <w:p w14:paraId="6C1BF06F" w14:textId="77777777" w:rsidR="00AF3058" w:rsidRDefault="00AF30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Rashodi i izdaci</w:t>
            </w:r>
          </w:p>
        </w:tc>
        <w:tc>
          <w:tcPr>
            <w:tcW w:w="1858" w:type="dxa"/>
          </w:tcPr>
          <w:p w14:paraId="06E3BCCD" w14:textId="26EAA349" w:rsidR="00AF3058" w:rsidRDefault="00AF30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246B83">
              <w:rPr>
                <w:b/>
                <w:bCs/>
              </w:rPr>
              <w:t>2</w:t>
            </w:r>
            <w:r>
              <w:rPr>
                <w:b/>
                <w:bCs/>
              </w:rPr>
              <w:t>. godina</w:t>
            </w:r>
          </w:p>
        </w:tc>
        <w:tc>
          <w:tcPr>
            <w:tcW w:w="1858" w:type="dxa"/>
          </w:tcPr>
          <w:p w14:paraId="69CEBC4B" w14:textId="5C6C44B6" w:rsidR="00AF3058" w:rsidRDefault="00AF30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246B83">
              <w:rPr>
                <w:b/>
                <w:bCs/>
              </w:rPr>
              <w:t>3</w:t>
            </w:r>
            <w:r>
              <w:rPr>
                <w:b/>
                <w:bCs/>
              </w:rPr>
              <w:t>. godina</w:t>
            </w:r>
          </w:p>
        </w:tc>
        <w:tc>
          <w:tcPr>
            <w:tcW w:w="1858" w:type="dxa"/>
          </w:tcPr>
          <w:p w14:paraId="3B1A6F73" w14:textId="28DC0C72" w:rsidR="00AF3058" w:rsidRDefault="00AF30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246B83">
              <w:rPr>
                <w:b/>
                <w:bCs/>
              </w:rPr>
              <w:t>4</w:t>
            </w:r>
            <w:r>
              <w:rPr>
                <w:b/>
                <w:bCs/>
              </w:rPr>
              <w:t>. godina</w:t>
            </w:r>
          </w:p>
        </w:tc>
      </w:tr>
      <w:tr w:rsidR="00AF3058" w14:paraId="4304B374" w14:textId="77777777">
        <w:tc>
          <w:tcPr>
            <w:tcW w:w="1857" w:type="dxa"/>
          </w:tcPr>
          <w:p w14:paraId="277FD71C" w14:textId="77777777" w:rsidR="00AF3058" w:rsidRDefault="00AF30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857" w:type="dxa"/>
          </w:tcPr>
          <w:p w14:paraId="6E6C0C7C" w14:textId="77777777" w:rsidR="00AF3058" w:rsidRDefault="00AF30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Rashodi poslovanja</w:t>
            </w:r>
          </w:p>
        </w:tc>
        <w:tc>
          <w:tcPr>
            <w:tcW w:w="1858" w:type="dxa"/>
          </w:tcPr>
          <w:p w14:paraId="4227EBEE" w14:textId="0CDD7CD5" w:rsidR="00AF3058" w:rsidRDefault="00246B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2.178.616</w:t>
            </w:r>
          </w:p>
        </w:tc>
        <w:tc>
          <w:tcPr>
            <w:tcW w:w="1858" w:type="dxa"/>
          </w:tcPr>
          <w:p w14:paraId="1092DF1B" w14:textId="4495F25C" w:rsidR="00AF3058" w:rsidRDefault="00246B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2.692.850</w:t>
            </w:r>
          </w:p>
        </w:tc>
        <w:tc>
          <w:tcPr>
            <w:tcW w:w="1858" w:type="dxa"/>
          </w:tcPr>
          <w:p w14:paraId="6D85D9E2" w14:textId="0D692BEF" w:rsidR="00AF3058" w:rsidRDefault="00246B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3.159.565</w:t>
            </w:r>
          </w:p>
        </w:tc>
      </w:tr>
      <w:tr w:rsidR="00AF3058" w14:paraId="170DAE15" w14:textId="77777777">
        <w:tc>
          <w:tcPr>
            <w:tcW w:w="1857" w:type="dxa"/>
          </w:tcPr>
          <w:p w14:paraId="266548D3" w14:textId="77777777" w:rsidR="00AF3058" w:rsidRDefault="00AF30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857" w:type="dxa"/>
          </w:tcPr>
          <w:p w14:paraId="16A79EC5" w14:textId="77777777" w:rsidR="00AF3058" w:rsidRDefault="00AF30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Rashodi za nabavu nefinancijske imovine</w:t>
            </w:r>
          </w:p>
        </w:tc>
        <w:tc>
          <w:tcPr>
            <w:tcW w:w="1858" w:type="dxa"/>
          </w:tcPr>
          <w:p w14:paraId="3782B66C" w14:textId="6EFFAC29" w:rsidR="00AF3058" w:rsidRDefault="00246B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33.788</w:t>
            </w:r>
          </w:p>
        </w:tc>
        <w:tc>
          <w:tcPr>
            <w:tcW w:w="1858" w:type="dxa"/>
          </w:tcPr>
          <w:p w14:paraId="2C9D1252" w14:textId="7BE065DF" w:rsidR="00AF3058" w:rsidRDefault="00246B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34.726</w:t>
            </w:r>
          </w:p>
        </w:tc>
        <w:tc>
          <w:tcPr>
            <w:tcW w:w="1858" w:type="dxa"/>
          </w:tcPr>
          <w:p w14:paraId="20D49966" w14:textId="42864BD9" w:rsidR="00AF3058" w:rsidRDefault="00246B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77.442</w:t>
            </w:r>
          </w:p>
        </w:tc>
      </w:tr>
      <w:tr w:rsidR="00AF3058" w14:paraId="5A5FB5F5" w14:textId="77777777">
        <w:tc>
          <w:tcPr>
            <w:tcW w:w="1857" w:type="dxa"/>
          </w:tcPr>
          <w:p w14:paraId="02DC0ECF" w14:textId="77777777" w:rsidR="00AF3058" w:rsidRDefault="00AF30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857" w:type="dxa"/>
          </w:tcPr>
          <w:p w14:paraId="4F30D0FF" w14:textId="77777777" w:rsidR="00AF3058" w:rsidRDefault="00AF30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Izdaci za fin. Imovinu i otplate zajmova</w:t>
            </w:r>
          </w:p>
        </w:tc>
        <w:tc>
          <w:tcPr>
            <w:tcW w:w="1858" w:type="dxa"/>
          </w:tcPr>
          <w:p w14:paraId="1ECEB084" w14:textId="77777777" w:rsidR="00AF3058" w:rsidRDefault="00AF30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858" w:type="dxa"/>
          </w:tcPr>
          <w:p w14:paraId="7A567551" w14:textId="77777777" w:rsidR="00AF3058" w:rsidRDefault="00AF30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858" w:type="dxa"/>
          </w:tcPr>
          <w:p w14:paraId="61DF9B8F" w14:textId="77777777" w:rsidR="00AF3058" w:rsidRDefault="00AF30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14:paraId="5916A3AF" w14:textId="197987C3" w:rsidR="00AF3058" w:rsidRPr="004C45E6" w:rsidRDefault="00AF3058" w:rsidP="00AF3058">
      <w:pPr>
        <w:jc w:val="both"/>
      </w:pPr>
      <w:r w:rsidRPr="004C45E6">
        <w:t xml:space="preserve">                                         </w:t>
      </w:r>
    </w:p>
    <w:p w14:paraId="28A7AA63" w14:textId="77777777" w:rsidR="00AF3058" w:rsidRDefault="00AF3058" w:rsidP="00246B83">
      <w:pPr>
        <w:rPr>
          <w:b/>
        </w:rPr>
      </w:pPr>
    </w:p>
    <w:p w14:paraId="07BEE028" w14:textId="73EB65A7" w:rsidR="00AF3058" w:rsidRDefault="00AF3058" w:rsidP="00AF3058">
      <w:pPr>
        <w:jc w:val="center"/>
        <w:rPr>
          <w:b/>
        </w:rPr>
      </w:pPr>
      <w:r>
        <w:rPr>
          <w:b/>
        </w:rPr>
        <w:t>BILJEŠKE UZ OBRAZAC BILANCA</w:t>
      </w:r>
    </w:p>
    <w:p w14:paraId="40AA021F" w14:textId="77777777" w:rsidR="00AF3058" w:rsidRDefault="00AF3058" w:rsidP="00AF3058">
      <w:pPr>
        <w:jc w:val="center"/>
        <w:rPr>
          <w:b/>
        </w:rPr>
      </w:pPr>
    </w:p>
    <w:p w14:paraId="552043D1" w14:textId="77777777" w:rsidR="00AF3058" w:rsidRDefault="00AF3058" w:rsidP="00AF3058">
      <w:pPr>
        <w:rPr>
          <w:b/>
          <w:highlight w:val="lightGray"/>
        </w:rPr>
      </w:pPr>
    </w:p>
    <w:p w14:paraId="7A26DE80" w14:textId="77777777" w:rsidR="00AF3058" w:rsidRDefault="00AF3058" w:rsidP="00AF3058">
      <w:pPr>
        <w:rPr>
          <w:b/>
        </w:rPr>
      </w:pPr>
      <w:r w:rsidRPr="00FC17B4">
        <w:rPr>
          <w:b/>
          <w:highlight w:val="lightGray"/>
        </w:rPr>
        <w:t xml:space="preserve">Bilješke uz </w:t>
      </w:r>
      <w:r>
        <w:rPr>
          <w:b/>
          <w:highlight w:val="lightGray"/>
        </w:rPr>
        <w:t>Šifru</w:t>
      </w:r>
      <w:r w:rsidRPr="00FC17B4">
        <w:rPr>
          <w:b/>
          <w:highlight w:val="lightGray"/>
        </w:rPr>
        <w:t xml:space="preserve"> 0 – </w:t>
      </w:r>
      <w:r w:rsidRPr="00D26581">
        <w:rPr>
          <w:b/>
          <w:highlight w:val="lightGray"/>
        </w:rPr>
        <w:t>Nefinancijska imovina</w:t>
      </w:r>
    </w:p>
    <w:p w14:paraId="7A336268" w14:textId="77777777" w:rsidR="00AF3058" w:rsidRPr="00D26581" w:rsidRDefault="00AF3058" w:rsidP="00AF3058">
      <w:pPr>
        <w:rPr>
          <w:bCs/>
        </w:rPr>
      </w:pPr>
      <w:r w:rsidRPr="00D26581">
        <w:rPr>
          <w:bCs/>
        </w:rPr>
        <w:t>U ukupnom iznosu nefinancijske imovine nema većih odstupanja od prethodnog razdoblja.</w:t>
      </w:r>
    </w:p>
    <w:p w14:paraId="2053251F" w14:textId="77777777" w:rsidR="00AF3058" w:rsidRDefault="00AF3058" w:rsidP="00AF3058">
      <w:pPr>
        <w:rPr>
          <w:b/>
          <w:highlight w:val="lightGray"/>
        </w:rPr>
      </w:pPr>
    </w:p>
    <w:p w14:paraId="505171E7" w14:textId="77777777" w:rsidR="00AF3058" w:rsidRDefault="00AF3058" w:rsidP="00AF3058">
      <w:pPr>
        <w:rPr>
          <w:b/>
        </w:rPr>
      </w:pPr>
      <w:r w:rsidRPr="00FC17B4">
        <w:rPr>
          <w:b/>
          <w:highlight w:val="lightGray"/>
        </w:rPr>
        <w:t xml:space="preserve">Bilješke uz </w:t>
      </w:r>
      <w:r>
        <w:rPr>
          <w:b/>
          <w:highlight w:val="lightGray"/>
        </w:rPr>
        <w:t>Šifru</w:t>
      </w:r>
      <w:r w:rsidRPr="00FC17B4">
        <w:rPr>
          <w:b/>
          <w:highlight w:val="lightGray"/>
        </w:rPr>
        <w:t xml:space="preserve"> 02 – Postrojenje i oprema</w:t>
      </w:r>
    </w:p>
    <w:p w14:paraId="5F8B8355" w14:textId="1BDC7F16" w:rsidR="00AF3058" w:rsidRDefault="00AF3058" w:rsidP="00AF3058">
      <w:pPr>
        <w:jc w:val="both"/>
        <w:rPr>
          <w:bCs/>
        </w:rPr>
      </w:pPr>
      <w:r>
        <w:rPr>
          <w:bCs/>
        </w:rPr>
        <w:t>Ova imovina odnosi se na građevinske objekte, postrojenje i opremu, te prijevozna sredstva. U 202</w:t>
      </w:r>
      <w:r w:rsidR="005B5CE8">
        <w:rPr>
          <w:bCs/>
        </w:rPr>
        <w:t>4</w:t>
      </w:r>
      <w:r>
        <w:rPr>
          <w:bCs/>
        </w:rPr>
        <w:t>. godini povećala se vrijednost opreme zbog nabave nove opreme</w:t>
      </w:r>
      <w:r w:rsidR="005B5CE8">
        <w:rPr>
          <w:bCs/>
        </w:rPr>
        <w:t xml:space="preserve"> i dostavnog vozila</w:t>
      </w:r>
      <w:r>
        <w:rPr>
          <w:bCs/>
        </w:rPr>
        <w:t>, dok se ostala imovina nije povećavala.</w:t>
      </w:r>
    </w:p>
    <w:p w14:paraId="14E44443" w14:textId="77777777" w:rsidR="00C82C92" w:rsidRDefault="00C82C92" w:rsidP="00C82C92">
      <w:pPr>
        <w:rPr>
          <w:b/>
          <w:highlight w:val="lightGray"/>
        </w:rPr>
      </w:pPr>
    </w:p>
    <w:p w14:paraId="1CA70DF2" w14:textId="7EC634CB" w:rsidR="00C82C92" w:rsidRDefault="00C82C92" w:rsidP="00C82C92">
      <w:pPr>
        <w:rPr>
          <w:b/>
        </w:rPr>
      </w:pPr>
      <w:r w:rsidRPr="00FC17B4">
        <w:rPr>
          <w:b/>
          <w:highlight w:val="lightGray"/>
        </w:rPr>
        <w:t xml:space="preserve">Bilješke uz </w:t>
      </w:r>
      <w:r>
        <w:rPr>
          <w:b/>
          <w:highlight w:val="lightGray"/>
        </w:rPr>
        <w:t>Šifru</w:t>
      </w:r>
      <w:r w:rsidRPr="00FC17B4">
        <w:rPr>
          <w:b/>
          <w:highlight w:val="lightGray"/>
        </w:rPr>
        <w:t xml:space="preserve"> </w:t>
      </w:r>
      <w:r>
        <w:rPr>
          <w:b/>
          <w:highlight w:val="lightGray"/>
        </w:rPr>
        <w:t>1</w:t>
      </w:r>
      <w:r w:rsidRPr="00FC17B4">
        <w:rPr>
          <w:b/>
          <w:highlight w:val="lightGray"/>
        </w:rPr>
        <w:t xml:space="preserve"> – </w:t>
      </w:r>
      <w:r>
        <w:rPr>
          <w:b/>
          <w:highlight w:val="lightGray"/>
        </w:rPr>
        <w:t>F</w:t>
      </w:r>
      <w:r w:rsidRPr="00D26581">
        <w:rPr>
          <w:b/>
          <w:highlight w:val="lightGray"/>
        </w:rPr>
        <w:t>inancijska imovina</w:t>
      </w:r>
    </w:p>
    <w:p w14:paraId="616D2256" w14:textId="189DAC60" w:rsidR="005B5CE8" w:rsidRDefault="00C82C92" w:rsidP="00AF3058">
      <w:pPr>
        <w:jc w:val="both"/>
        <w:rPr>
          <w:bCs/>
        </w:rPr>
      </w:pPr>
      <w:r>
        <w:rPr>
          <w:bCs/>
        </w:rPr>
        <w:t>Financijska imovina sastoji se od novčanih sredstava i potraživanja. Stanje financijske imovine na početku i na kraju godine bilježi porast</w:t>
      </w:r>
      <w:r w:rsidR="00D54E6F">
        <w:rPr>
          <w:bCs/>
        </w:rPr>
        <w:t>.</w:t>
      </w:r>
    </w:p>
    <w:p w14:paraId="063A3A9C" w14:textId="77777777" w:rsidR="00AF3058" w:rsidRPr="00FC17B4" w:rsidRDefault="00AF3058" w:rsidP="00AF3058">
      <w:pPr>
        <w:jc w:val="both"/>
        <w:rPr>
          <w:bCs/>
        </w:rPr>
      </w:pPr>
    </w:p>
    <w:p w14:paraId="02E72747" w14:textId="77777777" w:rsidR="00AF3058" w:rsidRDefault="00AF3058" w:rsidP="00AF3058">
      <w:pPr>
        <w:jc w:val="both"/>
        <w:rPr>
          <w:b/>
        </w:rPr>
      </w:pPr>
      <w:r w:rsidRPr="00522CAF">
        <w:rPr>
          <w:b/>
          <w:highlight w:val="lightGray"/>
        </w:rPr>
        <w:t xml:space="preserve">Bilješke uz </w:t>
      </w:r>
      <w:r>
        <w:rPr>
          <w:b/>
          <w:highlight w:val="lightGray"/>
        </w:rPr>
        <w:t>Šifru</w:t>
      </w:r>
      <w:r w:rsidRPr="00522CAF">
        <w:rPr>
          <w:b/>
          <w:highlight w:val="lightGray"/>
        </w:rPr>
        <w:t xml:space="preserve"> 16 – Potraživanja za prihode poslovanja</w:t>
      </w:r>
    </w:p>
    <w:p w14:paraId="6EF5C312" w14:textId="73EA8E87" w:rsidR="00AF3058" w:rsidRPr="00C94DC5" w:rsidRDefault="00AF3058" w:rsidP="00AF3058">
      <w:pPr>
        <w:jc w:val="both"/>
        <w:rPr>
          <w:bCs/>
        </w:rPr>
      </w:pPr>
      <w:r w:rsidRPr="00C94DC5">
        <w:rPr>
          <w:bCs/>
        </w:rPr>
        <w:t xml:space="preserve">Potraživanja za prihode poslovanja </w:t>
      </w:r>
      <w:r>
        <w:rPr>
          <w:bCs/>
        </w:rPr>
        <w:t>sastoje se od 165 – potraživanja za račune izdane roditeljima za korištenje usluga vrtića umanjene za ispravak vrijednosti potraživanja</w:t>
      </w:r>
      <w:r w:rsidR="00D54E6F">
        <w:rPr>
          <w:bCs/>
        </w:rPr>
        <w:t>.</w:t>
      </w:r>
      <w:r>
        <w:rPr>
          <w:bCs/>
        </w:rPr>
        <w:t xml:space="preserve"> </w:t>
      </w:r>
    </w:p>
    <w:p w14:paraId="65497476" w14:textId="77777777" w:rsidR="00AF3058" w:rsidRDefault="00AF3058" w:rsidP="00AF3058">
      <w:pPr>
        <w:jc w:val="both"/>
        <w:rPr>
          <w:b/>
        </w:rPr>
      </w:pPr>
    </w:p>
    <w:p w14:paraId="25BF2119" w14:textId="77777777" w:rsidR="0044383D" w:rsidRDefault="0044383D" w:rsidP="00AF3058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3"/>
        <w:gridCol w:w="1709"/>
        <w:gridCol w:w="1495"/>
        <w:gridCol w:w="1543"/>
        <w:gridCol w:w="1532"/>
        <w:gridCol w:w="1506"/>
      </w:tblGrid>
      <w:tr w:rsidR="00AF3058" w14:paraId="5D2DE5DB" w14:textId="77777777">
        <w:tc>
          <w:tcPr>
            <w:tcW w:w="1503" w:type="dxa"/>
            <w:shd w:val="clear" w:color="auto" w:fill="auto"/>
          </w:tcPr>
          <w:p w14:paraId="4E05B480" w14:textId="77777777" w:rsidR="00AF3058" w:rsidRDefault="00AF3058">
            <w:pPr>
              <w:jc w:val="center"/>
              <w:rPr>
                <w:bCs/>
              </w:rPr>
            </w:pPr>
            <w:r>
              <w:rPr>
                <w:bCs/>
              </w:rPr>
              <w:t>Račun iz rač. plana</w:t>
            </w:r>
          </w:p>
        </w:tc>
        <w:tc>
          <w:tcPr>
            <w:tcW w:w="1709" w:type="dxa"/>
            <w:shd w:val="clear" w:color="auto" w:fill="auto"/>
          </w:tcPr>
          <w:p w14:paraId="4BEA5FFA" w14:textId="77777777" w:rsidR="00AF3058" w:rsidRDefault="00AF3058">
            <w:pPr>
              <w:jc w:val="center"/>
              <w:rPr>
                <w:bCs/>
              </w:rPr>
            </w:pPr>
            <w:r>
              <w:rPr>
                <w:bCs/>
              </w:rPr>
              <w:t>Opis stavke</w:t>
            </w:r>
          </w:p>
        </w:tc>
        <w:tc>
          <w:tcPr>
            <w:tcW w:w="1495" w:type="dxa"/>
            <w:shd w:val="clear" w:color="auto" w:fill="auto"/>
          </w:tcPr>
          <w:p w14:paraId="7970CC9D" w14:textId="77777777" w:rsidR="00AF3058" w:rsidRDefault="00AF3058">
            <w:pPr>
              <w:jc w:val="center"/>
              <w:rPr>
                <w:bCs/>
              </w:rPr>
            </w:pPr>
            <w:r>
              <w:rPr>
                <w:bCs/>
              </w:rPr>
              <w:t>AOP</w:t>
            </w:r>
          </w:p>
        </w:tc>
        <w:tc>
          <w:tcPr>
            <w:tcW w:w="1543" w:type="dxa"/>
            <w:shd w:val="clear" w:color="auto" w:fill="auto"/>
          </w:tcPr>
          <w:p w14:paraId="77669838" w14:textId="022CCF31" w:rsidR="00AF3058" w:rsidRDefault="00AF3058">
            <w:pPr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D54E6F">
              <w:rPr>
                <w:bCs/>
              </w:rPr>
              <w:t>2</w:t>
            </w:r>
            <w:r>
              <w:rPr>
                <w:bCs/>
              </w:rPr>
              <w:t>. godina</w:t>
            </w:r>
          </w:p>
        </w:tc>
        <w:tc>
          <w:tcPr>
            <w:tcW w:w="1532" w:type="dxa"/>
            <w:shd w:val="clear" w:color="auto" w:fill="auto"/>
          </w:tcPr>
          <w:p w14:paraId="35EA9FD8" w14:textId="28338240" w:rsidR="00AF3058" w:rsidRDefault="00AF3058">
            <w:pPr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D54E6F">
              <w:rPr>
                <w:bCs/>
              </w:rPr>
              <w:t>3</w:t>
            </w:r>
            <w:r>
              <w:rPr>
                <w:bCs/>
              </w:rPr>
              <w:t>. godina</w:t>
            </w:r>
          </w:p>
        </w:tc>
        <w:tc>
          <w:tcPr>
            <w:tcW w:w="1506" w:type="dxa"/>
            <w:shd w:val="clear" w:color="auto" w:fill="auto"/>
          </w:tcPr>
          <w:p w14:paraId="0502F2EB" w14:textId="5A571ED9" w:rsidR="00AF3058" w:rsidRDefault="00AF3058">
            <w:pPr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D54E6F">
              <w:rPr>
                <w:bCs/>
              </w:rPr>
              <w:t>4</w:t>
            </w:r>
            <w:r>
              <w:rPr>
                <w:bCs/>
              </w:rPr>
              <w:t>. godina</w:t>
            </w:r>
          </w:p>
        </w:tc>
      </w:tr>
      <w:tr w:rsidR="00AF3058" w14:paraId="3C54C388" w14:textId="77777777">
        <w:tc>
          <w:tcPr>
            <w:tcW w:w="1503" w:type="dxa"/>
            <w:shd w:val="clear" w:color="auto" w:fill="auto"/>
          </w:tcPr>
          <w:p w14:paraId="44D7DD26" w14:textId="77777777" w:rsidR="00AF3058" w:rsidRDefault="00AF305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9" w:type="dxa"/>
            <w:shd w:val="clear" w:color="auto" w:fill="auto"/>
          </w:tcPr>
          <w:p w14:paraId="284BC56F" w14:textId="77777777" w:rsidR="00AF3058" w:rsidRDefault="00AF305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95" w:type="dxa"/>
            <w:shd w:val="clear" w:color="auto" w:fill="auto"/>
          </w:tcPr>
          <w:p w14:paraId="7DE209DD" w14:textId="77777777" w:rsidR="00AF3058" w:rsidRDefault="00AF3058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43" w:type="dxa"/>
            <w:shd w:val="clear" w:color="auto" w:fill="auto"/>
          </w:tcPr>
          <w:p w14:paraId="63A15B9E" w14:textId="77777777" w:rsidR="00AF3058" w:rsidRDefault="00AF3058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32" w:type="dxa"/>
            <w:shd w:val="clear" w:color="auto" w:fill="auto"/>
          </w:tcPr>
          <w:p w14:paraId="4044B1D0" w14:textId="77777777" w:rsidR="00AF3058" w:rsidRDefault="00AF3058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506" w:type="dxa"/>
            <w:shd w:val="clear" w:color="auto" w:fill="auto"/>
          </w:tcPr>
          <w:p w14:paraId="2666443E" w14:textId="77777777" w:rsidR="00AF3058" w:rsidRDefault="00AF3058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AF3058" w14:paraId="4C33D0AC" w14:textId="77777777">
        <w:tc>
          <w:tcPr>
            <w:tcW w:w="1503" w:type="dxa"/>
            <w:shd w:val="clear" w:color="auto" w:fill="auto"/>
          </w:tcPr>
          <w:p w14:paraId="1ADE1D6A" w14:textId="77777777" w:rsidR="00AF3058" w:rsidRDefault="00AF3058">
            <w:pPr>
              <w:jc w:val="center"/>
              <w:rPr>
                <w:bCs/>
              </w:rPr>
            </w:pPr>
          </w:p>
          <w:p w14:paraId="561B194A" w14:textId="77777777" w:rsidR="00AF3058" w:rsidRDefault="00AF3058">
            <w:pPr>
              <w:jc w:val="center"/>
              <w:rPr>
                <w:bCs/>
              </w:rPr>
            </w:pPr>
          </w:p>
          <w:p w14:paraId="68A6050C" w14:textId="77777777" w:rsidR="00AF3058" w:rsidRDefault="00AF3058">
            <w:pPr>
              <w:jc w:val="center"/>
              <w:rPr>
                <w:bCs/>
              </w:rPr>
            </w:pPr>
          </w:p>
          <w:p w14:paraId="441C7D0B" w14:textId="77777777" w:rsidR="00AF3058" w:rsidRDefault="00AF3058">
            <w:pPr>
              <w:jc w:val="center"/>
              <w:rPr>
                <w:bCs/>
              </w:rPr>
            </w:pPr>
            <w:r>
              <w:rPr>
                <w:bCs/>
              </w:rPr>
              <w:t>165</w:t>
            </w:r>
          </w:p>
        </w:tc>
        <w:tc>
          <w:tcPr>
            <w:tcW w:w="1709" w:type="dxa"/>
            <w:shd w:val="clear" w:color="auto" w:fill="auto"/>
          </w:tcPr>
          <w:p w14:paraId="13F5E71D" w14:textId="77777777" w:rsidR="00AF3058" w:rsidRDefault="00AF3058">
            <w:pPr>
              <w:jc w:val="center"/>
              <w:rPr>
                <w:bCs/>
              </w:rPr>
            </w:pPr>
            <w:r>
              <w:rPr>
                <w:bCs/>
              </w:rPr>
              <w:t>Potraživanja za upravne, administrativne pristojbe, pristojbe po posebnim propisima i naknade</w:t>
            </w:r>
          </w:p>
        </w:tc>
        <w:tc>
          <w:tcPr>
            <w:tcW w:w="1495" w:type="dxa"/>
            <w:shd w:val="clear" w:color="auto" w:fill="auto"/>
          </w:tcPr>
          <w:p w14:paraId="5BB00E63" w14:textId="77777777" w:rsidR="00AF3058" w:rsidRDefault="00AF3058">
            <w:pPr>
              <w:jc w:val="center"/>
              <w:rPr>
                <w:bCs/>
              </w:rPr>
            </w:pPr>
          </w:p>
          <w:p w14:paraId="0C24D76A" w14:textId="77777777" w:rsidR="00AF3058" w:rsidRDefault="00AF3058">
            <w:pPr>
              <w:jc w:val="center"/>
              <w:rPr>
                <w:bCs/>
              </w:rPr>
            </w:pPr>
          </w:p>
          <w:p w14:paraId="7C68C31D" w14:textId="77777777" w:rsidR="00AF3058" w:rsidRDefault="00AF3058">
            <w:pPr>
              <w:jc w:val="center"/>
              <w:rPr>
                <w:bCs/>
              </w:rPr>
            </w:pPr>
          </w:p>
          <w:p w14:paraId="5A1225EC" w14:textId="77777777" w:rsidR="00AF3058" w:rsidRDefault="00AF3058">
            <w:pPr>
              <w:jc w:val="center"/>
              <w:rPr>
                <w:bCs/>
              </w:rPr>
            </w:pPr>
            <w:r>
              <w:rPr>
                <w:bCs/>
              </w:rPr>
              <w:t>165</w:t>
            </w:r>
          </w:p>
        </w:tc>
        <w:tc>
          <w:tcPr>
            <w:tcW w:w="1543" w:type="dxa"/>
            <w:shd w:val="clear" w:color="auto" w:fill="auto"/>
          </w:tcPr>
          <w:p w14:paraId="0545A847" w14:textId="77777777" w:rsidR="00AF3058" w:rsidRDefault="00AF3058">
            <w:pPr>
              <w:jc w:val="center"/>
              <w:rPr>
                <w:bCs/>
              </w:rPr>
            </w:pPr>
          </w:p>
          <w:p w14:paraId="5C556197" w14:textId="77777777" w:rsidR="00AF3058" w:rsidRDefault="00AF3058">
            <w:pPr>
              <w:jc w:val="center"/>
              <w:rPr>
                <w:bCs/>
              </w:rPr>
            </w:pPr>
          </w:p>
          <w:p w14:paraId="528DC7BA" w14:textId="77777777" w:rsidR="00AF3058" w:rsidRDefault="00AF3058">
            <w:pPr>
              <w:jc w:val="center"/>
              <w:rPr>
                <w:bCs/>
              </w:rPr>
            </w:pPr>
          </w:p>
          <w:p w14:paraId="24341DAA" w14:textId="6166A12C" w:rsidR="00AF3058" w:rsidRDefault="00D54E6F">
            <w:pPr>
              <w:jc w:val="center"/>
              <w:rPr>
                <w:bCs/>
              </w:rPr>
            </w:pPr>
            <w:r>
              <w:rPr>
                <w:bCs/>
              </w:rPr>
              <w:t>19.792,28</w:t>
            </w:r>
          </w:p>
        </w:tc>
        <w:tc>
          <w:tcPr>
            <w:tcW w:w="1532" w:type="dxa"/>
            <w:shd w:val="clear" w:color="auto" w:fill="auto"/>
          </w:tcPr>
          <w:p w14:paraId="7E62B63B" w14:textId="77777777" w:rsidR="00AF3058" w:rsidRDefault="00AF3058">
            <w:pPr>
              <w:jc w:val="center"/>
              <w:rPr>
                <w:bCs/>
              </w:rPr>
            </w:pPr>
          </w:p>
          <w:p w14:paraId="2BF5ED78" w14:textId="77777777" w:rsidR="00AF3058" w:rsidRDefault="00AF3058">
            <w:pPr>
              <w:jc w:val="center"/>
              <w:rPr>
                <w:bCs/>
              </w:rPr>
            </w:pPr>
          </w:p>
          <w:p w14:paraId="14A3EE23" w14:textId="77777777" w:rsidR="00AF3058" w:rsidRDefault="00AF3058">
            <w:pPr>
              <w:jc w:val="center"/>
              <w:rPr>
                <w:bCs/>
              </w:rPr>
            </w:pPr>
          </w:p>
          <w:p w14:paraId="6FF36A83" w14:textId="6719890E" w:rsidR="00AF3058" w:rsidRDefault="00D54E6F">
            <w:pPr>
              <w:jc w:val="center"/>
              <w:rPr>
                <w:bCs/>
              </w:rPr>
            </w:pPr>
            <w:r>
              <w:rPr>
                <w:bCs/>
              </w:rPr>
              <w:t>18.649,68</w:t>
            </w:r>
          </w:p>
        </w:tc>
        <w:tc>
          <w:tcPr>
            <w:tcW w:w="1506" w:type="dxa"/>
            <w:shd w:val="clear" w:color="auto" w:fill="auto"/>
          </w:tcPr>
          <w:p w14:paraId="684A0D76" w14:textId="77777777" w:rsidR="00AF3058" w:rsidRDefault="00AF3058">
            <w:pPr>
              <w:jc w:val="center"/>
              <w:rPr>
                <w:bCs/>
              </w:rPr>
            </w:pPr>
          </w:p>
          <w:p w14:paraId="7BF35B07" w14:textId="77777777" w:rsidR="00AF3058" w:rsidRDefault="00AF3058">
            <w:pPr>
              <w:jc w:val="center"/>
              <w:rPr>
                <w:bCs/>
              </w:rPr>
            </w:pPr>
          </w:p>
          <w:p w14:paraId="41F822B7" w14:textId="77777777" w:rsidR="00AF3058" w:rsidRDefault="00AF3058">
            <w:pPr>
              <w:jc w:val="center"/>
              <w:rPr>
                <w:bCs/>
              </w:rPr>
            </w:pPr>
          </w:p>
          <w:p w14:paraId="67589407" w14:textId="238420C4" w:rsidR="00AF3058" w:rsidRDefault="00D54E6F">
            <w:pPr>
              <w:jc w:val="center"/>
              <w:rPr>
                <w:bCs/>
              </w:rPr>
            </w:pPr>
            <w:r>
              <w:rPr>
                <w:bCs/>
              </w:rPr>
              <w:t>17.424,81</w:t>
            </w:r>
          </w:p>
        </w:tc>
      </w:tr>
    </w:tbl>
    <w:p w14:paraId="7AD9212F" w14:textId="77777777" w:rsidR="00AF3058" w:rsidRPr="00522CAF" w:rsidRDefault="00AF3058" w:rsidP="00AF3058">
      <w:pPr>
        <w:jc w:val="both"/>
        <w:rPr>
          <w:b/>
        </w:rPr>
      </w:pPr>
      <w:r w:rsidRPr="00522CAF">
        <w:rPr>
          <w:b/>
        </w:rPr>
        <w:t xml:space="preserve">  </w:t>
      </w:r>
    </w:p>
    <w:p w14:paraId="6B70E2E7" w14:textId="77777777" w:rsidR="00383BB5" w:rsidRDefault="00383BB5" w:rsidP="00383BB5">
      <w:pPr>
        <w:jc w:val="both"/>
        <w:rPr>
          <w:b/>
        </w:rPr>
      </w:pPr>
      <w:r w:rsidRPr="00383BB5">
        <w:rPr>
          <w:b/>
          <w:highlight w:val="lightGray"/>
        </w:rPr>
        <w:t>Bilješka uz Šifru 167- Potraživanj</w:t>
      </w:r>
      <w:r>
        <w:rPr>
          <w:b/>
          <w:highlight w:val="lightGray"/>
        </w:rPr>
        <w:t>a proračunskih korisnika za sredstva uplaćena u nadležni proračun</w:t>
      </w:r>
    </w:p>
    <w:p w14:paraId="29E3B572" w14:textId="0926D4C9" w:rsidR="00383BB5" w:rsidRDefault="00E12FE5" w:rsidP="00383BB5">
      <w:pPr>
        <w:jc w:val="both"/>
        <w:rPr>
          <w:b/>
        </w:rPr>
      </w:pPr>
      <w:r w:rsidRPr="00E12FE5">
        <w:rPr>
          <w:bCs/>
        </w:rPr>
        <w:t>Stanje na kraju godine</w:t>
      </w:r>
      <w:r w:rsidR="00DE1D59">
        <w:rPr>
          <w:bCs/>
        </w:rPr>
        <w:t xml:space="preserve"> odgovara </w:t>
      </w:r>
      <w:r w:rsidRPr="00E12FE5">
        <w:rPr>
          <w:bCs/>
        </w:rPr>
        <w:t xml:space="preserve">razlici </w:t>
      </w:r>
      <w:r>
        <w:t>između naplaćenih prihoda</w:t>
      </w:r>
      <w:r w:rsidR="00DE1D59">
        <w:t xml:space="preserve"> odnosno za račune izdane roditeljima za korištenje usluga vrtića </w:t>
      </w:r>
      <w:r>
        <w:t xml:space="preserve">i </w:t>
      </w:r>
      <w:r w:rsidR="00DE1D59">
        <w:t>naplaćenih rashoda koji se financiraju iz prihoda za posebne namjene te iznosi 10</w:t>
      </w:r>
      <w:r w:rsidR="00AD44D8">
        <w:t>5</w:t>
      </w:r>
      <w:r w:rsidR="00DE1D59">
        <w:t>.</w:t>
      </w:r>
      <w:r w:rsidR="00AD44D8">
        <w:t>937</w:t>
      </w:r>
      <w:r w:rsidR="00DE1D59">
        <w:t>,</w:t>
      </w:r>
      <w:r w:rsidR="00AD44D8">
        <w:t>7</w:t>
      </w:r>
      <w:r w:rsidR="00DE1D59">
        <w:t>7 €.</w:t>
      </w:r>
    </w:p>
    <w:p w14:paraId="79D10689" w14:textId="77777777" w:rsidR="00AF3058" w:rsidRDefault="00AF3058" w:rsidP="00AF3058">
      <w:pPr>
        <w:jc w:val="both"/>
        <w:rPr>
          <w:b/>
          <w:highlight w:val="lightGray"/>
        </w:rPr>
      </w:pPr>
    </w:p>
    <w:p w14:paraId="4C663721" w14:textId="46851059" w:rsidR="00AF3058" w:rsidRDefault="00AF3058" w:rsidP="00AF3058">
      <w:pPr>
        <w:jc w:val="both"/>
        <w:rPr>
          <w:b/>
        </w:rPr>
      </w:pPr>
      <w:r w:rsidRPr="006A5120">
        <w:rPr>
          <w:b/>
          <w:highlight w:val="lightGray"/>
        </w:rPr>
        <w:t xml:space="preserve">Bilješka uz </w:t>
      </w:r>
      <w:r>
        <w:rPr>
          <w:b/>
          <w:highlight w:val="lightGray"/>
        </w:rPr>
        <w:t>Šifru</w:t>
      </w:r>
      <w:r w:rsidRPr="006A5120">
        <w:rPr>
          <w:b/>
          <w:highlight w:val="lightGray"/>
        </w:rPr>
        <w:t xml:space="preserve"> 1</w:t>
      </w:r>
      <w:r>
        <w:rPr>
          <w:b/>
          <w:highlight w:val="lightGray"/>
        </w:rPr>
        <w:t>6</w:t>
      </w:r>
      <w:r w:rsidRPr="006A5120">
        <w:rPr>
          <w:b/>
          <w:highlight w:val="lightGray"/>
        </w:rPr>
        <w:t>9</w:t>
      </w:r>
      <w:r w:rsidRPr="00C94DC5">
        <w:rPr>
          <w:b/>
          <w:highlight w:val="lightGray"/>
        </w:rPr>
        <w:t>- Ispravak vrijednosti potraživanja</w:t>
      </w:r>
    </w:p>
    <w:p w14:paraId="085DBC57" w14:textId="24803024" w:rsidR="00AF3058" w:rsidRPr="00D54E6F" w:rsidRDefault="00D54E6F" w:rsidP="00AF3058">
      <w:pPr>
        <w:jc w:val="both"/>
        <w:rPr>
          <w:bCs/>
        </w:rPr>
      </w:pPr>
      <w:r w:rsidRPr="00D54E6F">
        <w:rPr>
          <w:bCs/>
        </w:rPr>
        <w:t>Novi Pravilnik o proračunskom računovodstvu i računskom planu, koji je stupio na snagu 1.1.2024. godine donosi promjene u načinu provođenja ispravka vrijednosti potraživanja.</w:t>
      </w:r>
      <w:r>
        <w:rPr>
          <w:bCs/>
        </w:rPr>
        <w:t xml:space="preserve"> Kriterij proteka roka naplate potraživanja je ako je od kašnjenja u naplati prošlo više od  dvije godine, te se primjenjuje jedinstvena stopa od 100%</w:t>
      </w:r>
      <w:r w:rsidR="00383BB5">
        <w:rPr>
          <w:bCs/>
        </w:rPr>
        <w:t xml:space="preserve">. Novim Pravilnikom uvode se i drugi razlozi za ispravak vrijednosti, a odnose se na odobrena izuzeća ili oslobođenja od plaćanja, te kod nepravilnosti za refundacije EU sredstava. </w:t>
      </w:r>
    </w:p>
    <w:p w14:paraId="50EA44A2" w14:textId="560485C9" w:rsidR="00AF3058" w:rsidRPr="005C6421" w:rsidRDefault="00AF3058" w:rsidP="00D54E6F">
      <w:pPr>
        <w:jc w:val="both"/>
        <w:rPr>
          <w:bCs/>
        </w:rPr>
      </w:pPr>
      <w:r w:rsidRPr="005C6421">
        <w:rPr>
          <w:bCs/>
        </w:rPr>
        <w:t xml:space="preserve">Sukladno </w:t>
      </w:r>
      <w:r w:rsidR="00D54E6F">
        <w:rPr>
          <w:bCs/>
        </w:rPr>
        <w:t>tome potraživanja u bilanci smanjena su uslijed obračuna ispravka vrijednosti</w:t>
      </w:r>
      <w:r w:rsidR="00383BB5">
        <w:rPr>
          <w:bCs/>
        </w:rPr>
        <w:t xml:space="preserve"> </w:t>
      </w:r>
      <w:r w:rsidR="00DE1D59">
        <w:rPr>
          <w:bCs/>
        </w:rPr>
        <w:t>5</w:t>
      </w:r>
      <w:r w:rsidR="00383BB5">
        <w:rPr>
          <w:bCs/>
        </w:rPr>
        <w:t>0% za potraživanja iz 2022. godine</w:t>
      </w:r>
      <w:r w:rsidR="00DE1D59">
        <w:rPr>
          <w:bCs/>
        </w:rPr>
        <w:t xml:space="preserve">, jer su ista ispravljena za 50% u 2023. godini. </w:t>
      </w:r>
    </w:p>
    <w:p w14:paraId="4657E15A" w14:textId="77777777" w:rsidR="00AF3058" w:rsidRPr="00617359" w:rsidRDefault="00AF3058" w:rsidP="00AF3058"/>
    <w:p w14:paraId="346D261E" w14:textId="77777777" w:rsidR="00AF3058" w:rsidRDefault="00AF3058" w:rsidP="00AF3058">
      <w:pPr>
        <w:jc w:val="both"/>
        <w:rPr>
          <w:b/>
        </w:rPr>
      </w:pPr>
      <w:r w:rsidRPr="00BD165E">
        <w:rPr>
          <w:b/>
          <w:highlight w:val="lightGray"/>
        </w:rPr>
        <w:t xml:space="preserve">Bilješke uz poziciju 2 </w:t>
      </w:r>
      <w:r>
        <w:rPr>
          <w:b/>
          <w:highlight w:val="lightGray"/>
        </w:rPr>
        <w:t>–</w:t>
      </w:r>
      <w:r w:rsidRPr="00BD165E">
        <w:rPr>
          <w:b/>
          <w:highlight w:val="lightGray"/>
        </w:rPr>
        <w:t xml:space="preserve"> Obveze</w:t>
      </w:r>
    </w:p>
    <w:p w14:paraId="5A5C205E" w14:textId="4A64D2F1" w:rsidR="00AF3058" w:rsidRDefault="00AF3058" w:rsidP="00AF3058">
      <w:pPr>
        <w:jc w:val="both"/>
        <w:rPr>
          <w:bCs/>
        </w:rPr>
      </w:pPr>
      <w:r w:rsidRPr="00087C65">
        <w:rPr>
          <w:bCs/>
        </w:rPr>
        <w:t>Ukupne obveze na</w:t>
      </w:r>
      <w:r>
        <w:rPr>
          <w:bCs/>
        </w:rPr>
        <w:t xml:space="preserve"> razredu 2 </w:t>
      </w:r>
      <w:r w:rsidR="003C249B">
        <w:rPr>
          <w:bCs/>
        </w:rPr>
        <w:t>iznose 282.255,43€</w:t>
      </w:r>
      <w:r>
        <w:rPr>
          <w:bCs/>
        </w:rPr>
        <w:t>. U sljedećoj tablici prikazana je struktura obveza u odnosu na početak 202</w:t>
      </w:r>
      <w:r w:rsidR="003C249B">
        <w:rPr>
          <w:bCs/>
        </w:rPr>
        <w:t>4</w:t>
      </w:r>
      <w:r>
        <w:rPr>
          <w:bCs/>
        </w:rPr>
        <w:t>. godine.</w:t>
      </w:r>
    </w:p>
    <w:p w14:paraId="1B529D54" w14:textId="77777777" w:rsidR="00AF3058" w:rsidRDefault="00AF3058" w:rsidP="00AF3058">
      <w:pPr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548"/>
        <w:gridCol w:w="1548"/>
        <w:gridCol w:w="1548"/>
        <w:gridCol w:w="1548"/>
        <w:gridCol w:w="1548"/>
      </w:tblGrid>
      <w:tr w:rsidR="00AF3058" w14:paraId="0B1963B4" w14:textId="77777777">
        <w:tc>
          <w:tcPr>
            <w:tcW w:w="1548" w:type="dxa"/>
            <w:shd w:val="clear" w:color="auto" w:fill="auto"/>
          </w:tcPr>
          <w:p w14:paraId="4B6A5790" w14:textId="77777777" w:rsidR="00AF3058" w:rsidRDefault="00AF3058">
            <w:pPr>
              <w:jc w:val="center"/>
              <w:rPr>
                <w:bCs/>
              </w:rPr>
            </w:pPr>
            <w:r>
              <w:rPr>
                <w:bCs/>
              </w:rPr>
              <w:t>Račun iz računskog plana</w:t>
            </w:r>
          </w:p>
        </w:tc>
        <w:tc>
          <w:tcPr>
            <w:tcW w:w="1548" w:type="dxa"/>
            <w:shd w:val="clear" w:color="auto" w:fill="auto"/>
          </w:tcPr>
          <w:p w14:paraId="49AE040E" w14:textId="77777777" w:rsidR="00AF3058" w:rsidRDefault="00AF3058">
            <w:pPr>
              <w:jc w:val="center"/>
              <w:rPr>
                <w:bCs/>
              </w:rPr>
            </w:pPr>
          </w:p>
          <w:p w14:paraId="33DE77A3" w14:textId="77777777" w:rsidR="00AF3058" w:rsidRDefault="00AF3058">
            <w:pPr>
              <w:jc w:val="center"/>
              <w:rPr>
                <w:bCs/>
              </w:rPr>
            </w:pPr>
            <w:r>
              <w:rPr>
                <w:bCs/>
              </w:rPr>
              <w:t>Opis</w:t>
            </w:r>
          </w:p>
        </w:tc>
        <w:tc>
          <w:tcPr>
            <w:tcW w:w="1548" w:type="dxa"/>
            <w:shd w:val="clear" w:color="auto" w:fill="auto"/>
          </w:tcPr>
          <w:p w14:paraId="78A066ED" w14:textId="77777777" w:rsidR="00AF3058" w:rsidRDefault="00AF3058">
            <w:pPr>
              <w:jc w:val="center"/>
              <w:rPr>
                <w:bCs/>
              </w:rPr>
            </w:pPr>
          </w:p>
          <w:p w14:paraId="3C999393" w14:textId="77777777" w:rsidR="00AF3058" w:rsidRDefault="00AF3058">
            <w:pPr>
              <w:jc w:val="center"/>
              <w:rPr>
                <w:bCs/>
              </w:rPr>
            </w:pPr>
            <w:r>
              <w:rPr>
                <w:bCs/>
              </w:rPr>
              <w:t>Šifra</w:t>
            </w:r>
          </w:p>
        </w:tc>
        <w:tc>
          <w:tcPr>
            <w:tcW w:w="1548" w:type="dxa"/>
            <w:shd w:val="clear" w:color="auto" w:fill="auto"/>
          </w:tcPr>
          <w:p w14:paraId="6ABF4372" w14:textId="464F702C" w:rsidR="00AF3058" w:rsidRDefault="00AF3058">
            <w:pPr>
              <w:jc w:val="center"/>
              <w:rPr>
                <w:bCs/>
              </w:rPr>
            </w:pPr>
            <w:r>
              <w:rPr>
                <w:bCs/>
              </w:rPr>
              <w:t>Stanje na dan 1.1.202</w:t>
            </w:r>
            <w:r w:rsidR="003C249B">
              <w:rPr>
                <w:bCs/>
              </w:rPr>
              <w:t>4</w:t>
            </w:r>
            <w:r>
              <w:rPr>
                <w:bCs/>
              </w:rPr>
              <w:t>.</w:t>
            </w:r>
          </w:p>
        </w:tc>
        <w:tc>
          <w:tcPr>
            <w:tcW w:w="1548" w:type="dxa"/>
            <w:shd w:val="clear" w:color="auto" w:fill="auto"/>
          </w:tcPr>
          <w:p w14:paraId="468B4C79" w14:textId="3FB51A71" w:rsidR="00AF3058" w:rsidRDefault="00AF3058">
            <w:pPr>
              <w:jc w:val="center"/>
              <w:rPr>
                <w:bCs/>
              </w:rPr>
            </w:pPr>
            <w:r>
              <w:rPr>
                <w:bCs/>
              </w:rPr>
              <w:t>Stanje na dan 31.12.202</w:t>
            </w:r>
            <w:r w:rsidR="003C249B">
              <w:rPr>
                <w:bCs/>
              </w:rPr>
              <w:t>4</w:t>
            </w:r>
            <w:r>
              <w:rPr>
                <w:bCs/>
              </w:rPr>
              <w:t>.</w:t>
            </w:r>
          </w:p>
        </w:tc>
        <w:tc>
          <w:tcPr>
            <w:tcW w:w="1548" w:type="dxa"/>
            <w:shd w:val="clear" w:color="auto" w:fill="auto"/>
          </w:tcPr>
          <w:p w14:paraId="6901928D" w14:textId="77777777" w:rsidR="00AF3058" w:rsidRDefault="00AF3058">
            <w:pPr>
              <w:jc w:val="center"/>
              <w:rPr>
                <w:bCs/>
              </w:rPr>
            </w:pPr>
          </w:p>
          <w:p w14:paraId="7C6007D5" w14:textId="77777777" w:rsidR="00AF3058" w:rsidRDefault="00AF3058">
            <w:pPr>
              <w:jc w:val="center"/>
              <w:rPr>
                <w:bCs/>
              </w:rPr>
            </w:pPr>
            <w:r>
              <w:rPr>
                <w:bCs/>
              </w:rPr>
              <w:t>Indeks</w:t>
            </w:r>
          </w:p>
        </w:tc>
      </w:tr>
      <w:tr w:rsidR="00AF3058" w14:paraId="5DC575A9" w14:textId="77777777">
        <w:tc>
          <w:tcPr>
            <w:tcW w:w="1548" w:type="dxa"/>
            <w:shd w:val="clear" w:color="auto" w:fill="auto"/>
          </w:tcPr>
          <w:p w14:paraId="6812A477" w14:textId="77777777" w:rsidR="00AF3058" w:rsidRDefault="00AF305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48" w:type="dxa"/>
            <w:shd w:val="clear" w:color="auto" w:fill="auto"/>
          </w:tcPr>
          <w:p w14:paraId="2E3C4C49" w14:textId="77777777" w:rsidR="00AF3058" w:rsidRDefault="00AF3058">
            <w:pPr>
              <w:jc w:val="center"/>
              <w:rPr>
                <w:bCs/>
              </w:rPr>
            </w:pPr>
            <w:r>
              <w:rPr>
                <w:bCs/>
              </w:rPr>
              <w:t>Obveze</w:t>
            </w:r>
          </w:p>
        </w:tc>
        <w:tc>
          <w:tcPr>
            <w:tcW w:w="1548" w:type="dxa"/>
            <w:shd w:val="clear" w:color="auto" w:fill="auto"/>
          </w:tcPr>
          <w:p w14:paraId="5A476B4D" w14:textId="77777777" w:rsidR="00AF3058" w:rsidRDefault="00AF305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48" w:type="dxa"/>
            <w:shd w:val="clear" w:color="auto" w:fill="auto"/>
          </w:tcPr>
          <w:p w14:paraId="00EC6090" w14:textId="58D8F49E" w:rsidR="00AF3058" w:rsidRDefault="003C249B">
            <w:pPr>
              <w:jc w:val="center"/>
              <w:rPr>
                <w:bCs/>
              </w:rPr>
            </w:pPr>
            <w:r>
              <w:rPr>
                <w:bCs/>
              </w:rPr>
              <w:t>273.161,19</w:t>
            </w:r>
          </w:p>
        </w:tc>
        <w:tc>
          <w:tcPr>
            <w:tcW w:w="1548" w:type="dxa"/>
            <w:shd w:val="clear" w:color="auto" w:fill="auto"/>
          </w:tcPr>
          <w:p w14:paraId="074123E5" w14:textId="487634AA" w:rsidR="00AF3058" w:rsidRDefault="003C249B">
            <w:pPr>
              <w:jc w:val="center"/>
              <w:rPr>
                <w:bCs/>
              </w:rPr>
            </w:pPr>
            <w:r>
              <w:rPr>
                <w:bCs/>
              </w:rPr>
              <w:t>282.255,43</w:t>
            </w:r>
          </w:p>
        </w:tc>
        <w:tc>
          <w:tcPr>
            <w:tcW w:w="1548" w:type="dxa"/>
            <w:shd w:val="clear" w:color="auto" w:fill="auto"/>
          </w:tcPr>
          <w:p w14:paraId="690AC8C7" w14:textId="01D1B48A" w:rsidR="00AF3058" w:rsidRDefault="003C249B">
            <w:pPr>
              <w:jc w:val="center"/>
              <w:rPr>
                <w:bCs/>
              </w:rPr>
            </w:pPr>
            <w:r>
              <w:rPr>
                <w:bCs/>
              </w:rPr>
              <w:t>103,3</w:t>
            </w:r>
          </w:p>
        </w:tc>
      </w:tr>
      <w:tr w:rsidR="00AF3058" w14:paraId="09B56484" w14:textId="77777777">
        <w:tc>
          <w:tcPr>
            <w:tcW w:w="1548" w:type="dxa"/>
            <w:shd w:val="clear" w:color="auto" w:fill="auto"/>
          </w:tcPr>
          <w:p w14:paraId="7B3FC42F" w14:textId="77777777" w:rsidR="00AF3058" w:rsidRDefault="00AF3058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1548" w:type="dxa"/>
            <w:shd w:val="clear" w:color="auto" w:fill="auto"/>
          </w:tcPr>
          <w:p w14:paraId="58563F93" w14:textId="77777777" w:rsidR="00AF3058" w:rsidRDefault="00AF3058">
            <w:pPr>
              <w:jc w:val="center"/>
              <w:rPr>
                <w:bCs/>
              </w:rPr>
            </w:pPr>
            <w:r>
              <w:rPr>
                <w:bCs/>
              </w:rPr>
              <w:t>Obveze za rashode poslovanja</w:t>
            </w:r>
          </w:p>
        </w:tc>
        <w:tc>
          <w:tcPr>
            <w:tcW w:w="1548" w:type="dxa"/>
            <w:shd w:val="clear" w:color="auto" w:fill="auto"/>
          </w:tcPr>
          <w:p w14:paraId="7FD1D805" w14:textId="77777777" w:rsidR="00AF3058" w:rsidRDefault="00AF3058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1548" w:type="dxa"/>
            <w:shd w:val="clear" w:color="auto" w:fill="auto"/>
          </w:tcPr>
          <w:p w14:paraId="30592E0E" w14:textId="1B83032C" w:rsidR="00AF3058" w:rsidRDefault="003C249B">
            <w:pPr>
              <w:jc w:val="center"/>
              <w:rPr>
                <w:bCs/>
              </w:rPr>
            </w:pPr>
            <w:r>
              <w:rPr>
                <w:bCs/>
              </w:rPr>
              <w:t>247.997,94</w:t>
            </w:r>
          </w:p>
        </w:tc>
        <w:tc>
          <w:tcPr>
            <w:tcW w:w="1548" w:type="dxa"/>
            <w:shd w:val="clear" w:color="auto" w:fill="auto"/>
          </w:tcPr>
          <w:p w14:paraId="68489AD6" w14:textId="36364959" w:rsidR="00AF3058" w:rsidRDefault="003C249B">
            <w:pPr>
              <w:jc w:val="center"/>
              <w:rPr>
                <w:bCs/>
              </w:rPr>
            </w:pPr>
            <w:r>
              <w:rPr>
                <w:bCs/>
              </w:rPr>
              <w:t>278.235,00</w:t>
            </w:r>
          </w:p>
        </w:tc>
        <w:tc>
          <w:tcPr>
            <w:tcW w:w="1548" w:type="dxa"/>
            <w:shd w:val="clear" w:color="auto" w:fill="auto"/>
          </w:tcPr>
          <w:p w14:paraId="4468F615" w14:textId="340C210E" w:rsidR="00AF3058" w:rsidRDefault="003C249B">
            <w:pPr>
              <w:jc w:val="center"/>
              <w:rPr>
                <w:bCs/>
              </w:rPr>
            </w:pPr>
            <w:r>
              <w:rPr>
                <w:bCs/>
              </w:rPr>
              <w:t>112,2</w:t>
            </w:r>
          </w:p>
        </w:tc>
      </w:tr>
      <w:tr w:rsidR="00AF3058" w14:paraId="2802FF6E" w14:textId="77777777">
        <w:tc>
          <w:tcPr>
            <w:tcW w:w="1548" w:type="dxa"/>
            <w:shd w:val="clear" w:color="auto" w:fill="auto"/>
          </w:tcPr>
          <w:p w14:paraId="0EDDCA1D" w14:textId="77777777" w:rsidR="00AF3058" w:rsidRDefault="00AF3058">
            <w:pPr>
              <w:jc w:val="center"/>
              <w:rPr>
                <w:bCs/>
              </w:rPr>
            </w:pPr>
            <w:r>
              <w:rPr>
                <w:bCs/>
              </w:rPr>
              <w:t>231</w:t>
            </w:r>
          </w:p>
        </w:tc>
        <w:tc>
          <w:tcPr>
            <w:tcW w:w="1548" w:type="dxa"/>
            <w:shd w:val="clear" w:color="auto" w:fill="auto"/>
          </w:tcPr>
          <w:p w14:paraId="6D9F69D0" w14:textId="77777777" w:rsidR="00AF3058" w:rsidRDefault="00AF3058">
            <w:pPr>
              <w:jc w:val="center"/>
              <w:rPr>
                <w:bCs/>
              </w:rPr>
            </w:pPr>
            <w:r>
              <w:rPr>
                <w:bCs/>
              </w:rPr>
              <w:t>Obveze za zaposlene</w:t>
            </w:r>
          </w:p>
        </w:tc>
        <w:tc>
          <w:tcPr>
            <w:tcW w:w="1548" w:type="dxa"/>
            <w:shd w:val="clear" w:color="auto" w:fill="auto"/>
          </w:tcPr>
          <w:p w14:paraId="17AB4202" w14:textId="77777777" w:rsidR="00AF3058" w:rsidRDefault="00AF3058">
            <w:pPr>
              <w:jc w:val="center"/>
              <w:rPr>
                <w:bCs/>
              </w:rPr>
            </w:pPr>
            <w:r>
              <w:rPr>
                <w:bCs/>
              </w:rPr>
              <w:t>231</w:t>
            </w:r>
          </w:p>
        </w:tc>
        <w:tc>
          <w:tcPr>
            <w:tcW w:w="1548" w:type="dxa"/>
            <w:shd w:val="clear" w:color="auto" w:fill="auto"/>
          </w:tcPr>
          <w:p w14:paraId="200FFA81" w14:textId="77A1F09A" w:rsidR="00AF3058" w:rsidRDefault="003C249B">
            <w:pPr>
              <w:jc w:val="center"/>
              <w:rPr>
                <w:bCs/>
              </w:rPr>
            </w:pPr>
            <w:r>
              <w:rPr>
                <w:bCs/>
              </w:rPr>
              <w:t>184.606,89</w:t>
            </w:r>
          </w:p>
        </w:tc>
        <w:tc>
          <w:tcPr>
            <w:tcW w:w="1548" w:type="dxa"/>
            <w:shd w:val="clear" w:color="auto" w:fill="auto"/>
          </w:tcPr>
          <w:p w14:paraId="2009EE0C" w14:textId="11B10049" w:rsidR="00AF3058" w:rsidRDefault="003C249B">
            <w:pPr>
              <w:jc w:val="center"/>
              <w:rPr>
                <w:bCs/>
              </w:rPr>
            </w:pPr>
            <w:r>
              <w:rPr>
                <w:bCs/>
              </w:rPr>
              <w:t>237.678,48</w:t>
            </w:r>
          </w:p>
        </w:tc>
        <w:tc>
          <w:tcPr>
            <w:tcW w:w="1548" w:type="dxa"/>
            <w:shd w:val="clear" w:color="auto" w:fill="auto"/>
          </w:tcPr>
          <w:p w14:paraId="37FE0B44" w14:textId="4AA819A5" w:rsidR="00AF3058" w:rsidRDefault="003C249B">
            <w:pPr>
              <w:jc w:val="center"/>
              <w:rPr>
                <w:bCs/>
              </w:rPr>
            </w:pPr>
            <w:r>
              <w:rPr>
                <w:bCs/>
              </w:rPr>
              <w:t>128,7</w:t>
            </w:r>
          </w:p>
        </w:tc>
      </w:tr>
      <w:tr w:rsidR="00AF3058" w14:paraId="055DAA31" w14:textId="77777777">
        <w:tc>
          <w:tcPr>
            <w:tcW w:w="1548" w:type="dxa"/>
            <w:shd w:val="clear" w:color="auto" w:fill="auto"/>
          </w:tcPr>
          <w:p w14:paraId="160DDCA1" w14:textId="77777777" w:rsidR="00AF3058" w:rsidRDefault="00AF3058">
            <w:pPr>
              <w:jc w:val="center"/>
              <w:rPr>
                <w:bCs/>
              </w:rPr>
            </w:pPr>
            <w:r>
              <w:rPr>
                <w:bCs/>
              </w:rPr>
              <w:t>232</w:t>
            </w:r>
          </w:p>
        </w:tc>
        <w:tc>
          <w:tcPr>
            <w:tcW w:w="1548" w:type="dxa"/>
            <w:shd w:val="clear" w:color="auto" w:fill="auto"/>
          </w:tcPr>
          <w:p w14:paraId="2CD5D2C6" w14:textId="77777777" w:rsidR="00AF3058" w:rsidRDefault="00AF3058">
            <w:pPr>
              <w:jc w:val="center"/>
              <w:rPr>
                <w:bCs/>
              </w:rPr>
            </w:pPr>
            <w:r>
              <w:rPr>
                <w:bCs/>
              </w:rPr>
              <w:t>Obveze za materijalne rashode</w:t>
            </w:r>
          </w:p>
        </w:tc>
        <w:tc>
          <w:tcPr>
            <w:tcW w:w="1548" w:type="dxa"/>
            <w:shd w:val="clear" w:color="auto" w:fill="auto"/>
          </w:tcPr>
          <w:p w14:paraId="2203B7F2" w14:textId="77777777" w:rsidR="00AF3058" w:rsidRDefault="00AF3058">
            <w:pPr>
              <w:jc w:val="center"/>
              <w:rPr>
                <w:bCs/>
              </w:rPr>
            </w:pPr>
            <w:r>
              <w:rPr>
                <w:bCs/>
              </w:rPr>
              <w:t>232</w:t>
            </w:r>
          </w:p>
        </w:tc>
        <w:tc>
          <w:tcPr>
            <w:tcW w:w="1548" w:type="dxa"/>
            <w:shd w:val="clear" w:color="auto" w:fill="auto"/>
          </w:tcPr>
          <w:p w14:paraId="03B4735E" w14:textId="4802FCCB" w:rsidR="00AF3058" w:rsidRDefault="003C249B">
            <w:pPr>
              <w:jc w:val="center"/>
              <w:rPr>
                <w:bCs/>
              </w:rPr>
            </w:pPr>
            <w:r>
              <w:rPr>
                <w:bCs/>
              </w:rPr>
              <w:t>51.325,24</w:t>
            </w:r>
          </w:p>
        </w:tc>
        <w:tc>
          <w:tcPr>
            <w:tcW w:w="1548" w:type="dxa"/>
            <w:shd w:val="clear" w:color="auto" w:fill="auto"/>
          </w:tcPr>
          <w:p w14:paraId="3CBA9652" w14:textId="600E99A7" w:rsidR="00AF3058" w:rsidRDefault="003C249B">
            <w:pPr>
              <w:jc w:val="center"/>
              <w:rPr>
                <w:bCs/>
              </w:rPr>
            </w:pPr>
            <w:r>
              <w:rPr>
                <w:bCs/>
              </w:rPr>
              <w:t>35.282,40</w:t>
            </w:r>
          </w:p>
        </w:tc>
        <w:tc>
          <w:tcPr>
            <w:tcW w:w="1548" w:type="dxa"/>
            <w:shd w:val="clear" w:color="auto" w:fill="auto"/>
          </w:tcPr>
          <w:p w14:paraId="5D2591F7" w14:textId="133C79EC" w:rsidR="00AF3058" w:rsidRDefault="003C249B">
            <w:pPr>
              <w:jc w:val="center"/>
              <w:rPr>
                <w:bCs/>
              </w:rPr>
            </w:pPr>
            <w:r>
              <w:rPr>
                <w:bCs/>
              </w:rPr>
              <w:t>68,7</w:t>
            </w:r>
          </w:p>
        </w:tc>
      </w:tr>
      <w:tr w:rsidR="00AF3058" w14:paraId="15D77E4E" w14:textId="77777777">
        <w:tc>
          <w:tcPr>
            <w:tcW w:w="1548" w:type="dxa"/>
            <w:shd w:val="clear" w:color="auto" w:fill="auto"/>
          </w:tcPr>
          <w:p w14:paraId="7556DE22" w14:textId="77777777" w:rsidR="00AF3058" w:rsidRDefault="00AF3058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234</w:t>
            </w:r>
          </w:p>
        </w:tc>
        <w:tc>
          <w:tcPr>
            <w:tcW w:w="1548" w:type="dxa"/>
            <w:shd w:val="clear" w:color="auto" w:fill="auto"/>
          </w:tcPr>
          <w:p w14:paraId="2094B15E" w14:textId="77777777" w:rsidR="00AF3058" w:rsidRDefault="00AF3058">
            <w:pPr>
              <w:jc w:val="center"/>
              <w:rPr>
                <w:bCs/>
              </w:rPr>
            </w:pPr>
            <w:r>
              <w:rPr>
                <w:bCs/>
              </w:rPr>
              <w:t>Obveze za financijske rashode</w:t>
            </w:r>
          </w:p>
        </w:tc>
        <w:tc>
          <w:tcPr>
            <w:tcW w:w="1548" w:type="dxa"/>
            <w:shd w:val="clear" w:color="auto" w:fill="auto"/>
          </w:tcPr>
          <w:p w14:paraId="03653619" w14:textId="77777777" w:rsidR="00AF3058" w:rsidRDefault="00AF3058">
            <w:pPr>
              <w:jc w:val="center"/>
              <w:rPr>
                <w:bCs/>
              </w:rPr>
            </w:pPr>
            <w:r>
              <w:rPr>
                <w:bCs/>
              </w:rPr>
              <w:t>234</w:t>
            </w:r>
          </w:p>
        </w:tc>
        <w:tc>
          <w:tcPr>
            <w:tcW w:w="1548" w:type="dxa"/>
            <w:shd w:val="clear" w:color="auto" w:fill="auto"/>
          </w:tcPr>
          <w:p w14:paraId="5CD9137B" w14:textId="18809BC4" w:rsidR="00AF3058" w:rsidRDefault="003C249B">
            <w:pPr>
              <w:jc w:val="center"/>
              <w:rPr>
                <w:bCs/>
              </w:rPr>
            </w:pPr>
            <w:r>
              <w:rPr>
                <w:bCs/>
              </w:rPr>
              <w:t>126,55</w:t>
            </w:r>
          </w:p>
        </w:tc>
        <w:tc>
          <w:tcPr>
            <w:tcW w:w="1548" w:type="dxa"/>
            <w:shd w:val="clear" w:color="auto" w:fill="auto"/>
          </w:tcPr>
          <w:p w14:paraId="0ECD2A95" w14:textId="77777777" w:rsidR="00AF3058" w:rsidRDefault="00AF3058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548" w:type="dxa"/>
            <w:shd w:val="clear" w:color="auto" w:fill="auto"/>
          </w:tcPr>
          <w:p w14:paraId="6FE741E2" w14:textId="77777777" w:rsidR="00AF3058" w:rsidRDefault="00AF3058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F3058" w14:paraId="7E3221E1" w14:textId="77777777">
        <w:tc>
          <w:tcPr>
            <w:tcW w:w="1548" w:type="dxa"/>
            <w:shd w:val="clear" w:color="auto" w:fill="auto"/>
          </w:tcPr>
          <w:p w14:paraId="07152BEA" w14:textId="77777777" w:rsidR="00AF3058" w:rsidRDefault="00AF3058">
            <w:pPr>
              <w:jc w:val="center"/>
              <w:rPr>
                <w:bCs/>
              </w:rPr>
            </w:pPr>
            <w:r>
              <w:rPr>
                <w:bCs/>
              </w:rPr>
              <w:t>239</w:t>
            </w:r>
          </w:p>
        </w:tc>
        <w:tc>
          <w:tcPr>
            <w:tcW w:w="1548" w:type="dxa"/>
            <w:shd w:val="clear" w:color="auto" w:fill="auto"/>
          </w:tcPr>
          <w:p w14:paraId="52425E9D" w14:textId="77777777" w:rsidR="00AF3058" w:rsidRDefault="00AF3058">
            <w:pPr>
              <w:jc w:val="center"/>
              <w:rPr>
                <w:bCs/>
              </w:rPr>
            </w:pPr>
            <w:r>
              <w:rPr>
                <w:bCs/>
              </w:rPr>
              <w:t>Ostale tekuće obveze</w:t>
            </w:r>
          </w:p>
        </w:tc>
        <w:tc>
          <w:tcPr>
            <w:tcW w:w="1548" w:type="dxa"/>
            <w:shd w:val="clear" w:color="auto" w:fill="auto"/>
          </w:tcPr>
          <w:p w14:paraId="57348620" w14:textId="77777777" w:rsidR="00AF3058" w:rsidRDefault="00AF3058">
            <w:pPr>
              <w:jc w:val="center"/>
              <w:rPr>
                <w:bCs/>
              </w:rPr>
            </w:pPr>
            <w:r>
              <w:rPr>
                <w:bCs/>
              </w:rPr>
              <w:t>239</w:t>
            </w:r>
          </w:p>
        </w:tc>
        <w:tc>
          <w:tcPr>
            <w:tcW w:w="1548" w:type="dxa"/>
            <w:shd w:val="clear" w:color="auto" w:fill="auto"/>
          </w:tcPr>
          <w:p w14:paraId="150A5258" w14:textId="54CB727F" w:rsidR="00AF3058" w:rsidRDefault="003C249B">
            <w:pPr>
              <w:jc w:val="center"/>
              <w:rPr>
                <w:bCs/>
              </w:rPr>
            </w:pPr>
            <w:r>
              <w:rPr>
                <w:bCs/>
              </w:rPr>
              <w:t>11.939,26</w:t>
            </w:r>
          </w:p>
        </w:tc>
        <w:tc>
          <w:tcPr>
            <w:tcW w:w="1548" w:type="dxa"/>
            <w:shd w:val="clear" w:color="auto" w:fill="auto"/>
          </w:tcPr>
          <w:p w14:paraId="4805AFD8" w14:textId="4671C15D" w:rsidR="00AF3058" w:rsidRDefault="003C249B">
            <w:pPr>
              <w:jc w:val="center"/>
              <w:rPr>
                <w:bCs/>
              </w:rPr>
            </w:pPr>
            <w:r>
              <w:rPr>
                <w:bCs/>
              </w:rPr>
              <w:t>5274,12</w:t>
            </w:r>
          </w:p>
        </w:tc>
        <w:tc>
          <w:tcPr>
            <w:tcW w:w="1548" w:type="dxa"/>
            <w:shd w:val="clear" w:color="auto" w:fill="auto"/>
          </w:tcPr>
          <w:p w14:paraId="1D37BBF3" w14:textId="13608569" w:rsidR="00AF3058" w:rsidRDefault="003C249B">
            <w:pPr>
              <w:jc w:val="center"/>
              <w:rPr>
                <w:bCs/>
              </w:rPr>
            </w:pPr>
            <w:r>
              <w:rPr>
                <w:bCs/>
              </w:rPr>
              <w:t>44,2</w:t>
            </w:r>
          </w:p>
        </w:tc>
      </w:tr>
      <w:tr w:rsidR="00AF3058" w14:paraId="1EBF448E" w14:textId="77777777">
        <w:tc>
          <w:tcPr>
            <w:tcW w:w="1548" w:type="dxa"/>
            <w:shd w:val="clear" w:color="auto" w:fill="auto"/>
          </w:tcPr>
          <w:p w14:paraId="644AB550" w14:textId="77777777" w:rsidR="00AF3058" w:rsidRDefault="00AF3058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548" w:type="dxa"/>
            <w:shd w:val="clear" w:color="auto" w:fill="auto"/>
          </w:tcPr>
          <w:p w14:paraId="211AB294" w14:textId="77777777" w:rsidR="00AF3058" w:rsidRDefault="00AF3058">
            <w:pPr>
              <w:jc w:val="center"/>
              <w:rPr>
                <w:bCs/>
              </w:rPr>
            </w:pPr>
            <w:r>
              <w:rPr>
                <w:bCs/>
              </w:rPr>
              <w:t>Obveze za nabavu nefinancijske imovine</w:t>
            </w:r>
          </w:p>
        </w:tc>
        <w:tc>
          <w:tcPr>
            <w:tcW w:w="1548" w:type="dxa"/>
            <w:shd w:val="clear" w:color="auto" w:fill="auto"/>
          </w:tcPr>
          <w:p w14:paraId="18419C8D" w14:textId="77777777" w:rsidR="00AF3058" w:rsidRDefault="00AF3058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548" w:type="dxa"/>
            <w:shd w:val="clear" w:color="auto" w:fill="auto"/>
          </w:tcPr>
          <w:p w14:paraId="281F9D53" w14:textId="36A40EA7" w:rsidR="00AF3058" w:rsidRDefault="003C249B">
            <w:pPr>
              <w:jc w:val="center"/>
              <w:rPr>
                <w:bCs/>
              </w:rPr>
            </w:pPr>
            <w:r>
              <w:rPr>
                <w:bCs/>
              </w:rPr>
              <w:t>25.163,25</w:t>
            </w:r>
          </w:p>
        </w:tc>
        <w:tc>
          <w:tcPr>
            <w:tcW w:w="1548" w:type="dxa"/>
            <w:shd w:val="clear" w:color="auto" w:fill="auto"/>
          </w:tcPr>
          <w:p w14:paraId="5FE3334C" w14:textId="021200AA" w:rsidR="00AF3058" w:rsidRDefault="003C249B">
            <w:pPr>
              <w:jc w:val="center"/>
              <w:rPr>
                <w:bCs/>
              </w:rPr>
            </w:pPr>
            <w:r>
              <w:rPr>
                <w:bCs/>
              </w:rPr>
              <w:t>4.020,43</w:t>
            </w:r>
          </w:p>
        </w:tc>
        <w:tc>
          <w:tcPr>
            <w:tcW w:w="1548" w:type="dxa"/>
            <w:shd w:val="clear" w:color="auto" w:fill="auto"/>
          </w:tcPr>
          <w:p w14:paraId="2A33C2A7" w14:textId="215C2E2E" w:rsidR="00AF3058" w:rsidRDefault="003C249B">
            <w:pPr>
              <w:jc w:val="center"/>
              <w:rPr>
                <w:bCs/>
              </w:rPr>
            </w:pPr>
            <w:r>
              <w:rPr>
                <w:bCs/>
              </w:rPr>
              <w:t>16,0</w:t>
            </w:r>
          </w:p>
        </w:tc>
      </w:tr>
    </w:tbl>
    <w:p w14:paraId="2AB5C4CB" w14:textId="77777777" w:rsidR="00AF3058" w:rsidRDefault="00AF3058" w:rsidP="00AF3058">
      <w:pPr>
        <w:jc w:val="both"/>
        <w:rPr>
          <w:bCs/>
        </w:rPr>
      </w:pPr>
    </w:p>
    <w:p w14:paraId="596DC4BA" w14:textId="77777777" w:rsidR="00AF3058" w:rsidRDefault="00AF3058" w:rsidP="00AF3058">
      <w:pPr>
        <w:jc w:val="both"/>
        <w:rPr>
          <w:bCs/>
        </w:rPr>
      </w:pPr>
    </w:p>
    <w:p w14:paraId="632101B7" w14:textId="77777777" w:rsidR="00AF3058" w:rsidRDefault="00AF3058" w:rsidP="00AF3058">
      <w:pPr>
        <w:jc w:val="both"/>
        <w:rPr>
          <w:b/>
        </w:rPr>
      </w:pPr>
      <w:r w:rsidRPr="00FB6300">
        <w:rPr>
          <w:b/>
          <w:highlight w:val="lightGray"/>
        </w:rPr>
        <w:t>Bilješke uz poziciju 922 – Višak/manjak prihoda</w:t>
      </w:r>
    </w:p>
    <w:p w14:paraId="044BA3C6" w14:textId="1EE15B3B" w:rsidR="00AF3058" w:rsidRDefault="00AF3058" w:rsidP="00AF3058">
      <w:pPr>
        <w:jc w:val="both"/>
        <w:rPr>
          <w:bCs/>
        </w:rPr>
      </w:pPr>
      <w:r>
        <w:rPr>
          <w:bCs/>
        </w:rPr>
        <w:t xml:space="preserve">Sukladno članku 82. Pravilnika o proračunskom računovodstvu rezultat na kraju godine utvrđen je prebijanjem računa viškova i manjkova po istovrsnim kategorijama i izvorima financiranja- višak prihoda poslovanja i manjak prihoda poslovanja, te višak prihoda od nefinancijske imovine i manjak prihoda od nefinancijske imovine. Utvrđen je </w:t>
      </w:r>
      <w:r w:rsidR="003C249B">
        <w:rPr>
          <w:bCs/>
        </w:rPr>
        <w:t xml:space="preserve">višak prihoda poslovanja od </w:t>
      </w:r>
      <w:r w:rsidR="00897E12">
        <w:rPr>
          <w:bCs/>
        </w:rPr>
        <w:t>153.812,45</w:t>
      </w:r>
      <w:r w:rsidR="00925724">
        <w:rPr>
          <w:bCs/>
        </w:rPr>
        <w:t xml:space="preserve"> </w:t>
      </w:r>
      <w:r w:rsidR="003C249B">
        <w:rPr>
          <w:bCs/>
        </w:rPr>
        <w:t xml:space="preserve">€ i </w:t>
      </w:r>
      <w:r w:rsidR="009549A4">
        <w:rPr>
          <w:bCs/>
        </w:rPr>
        <w:t>manjak prihoda</w:t>
      </w:r>
      <w:r w:rsidR="003C249B">
        <w:rPr>
          <w:bCs/>
        </w:rPr>
        <w:t xml:space="preserve"> od nefinancijske imovine u iznosu od 322.972,14</w:t>
      </w:r>
      <w:r w:rsidR="00925724">
        <w:rPr>
          <w:bCs/>
        </w:rPr>
        <w:t xml:space="preserve"> </w:t>
      </w:r>
      <w:r w:rsidR="003C249B">
        <w:rPr>
          <w:bCs/>
        </w:rPr>
        <w:t>€</w:t>
      </w:r>
      <w:r w:rsidR="00925724">
        <w:rPr>
          <w:bCs/>
        </w:rPr>
        <w:t xml:space="preserve"> što daje manjak 1</w:t>
      </w:r>
      <w:r w:rsidR="00897E12">
        <w:rPr>
          <w:bCs/>
        </w:rPr>
        <w:t xml:space="preserve">69.159,69 </w:t>
      </w:r>
      <w:r w:rsidR="00925724">
        <w:rPr>
          <w:bCs/>
        </w:rPr>
        <w:t>€.</w:t>
      </w:r>
    </w:p>
    <w:p w14:paraId="62435433" w14:textId="4C021D91" w:rsidR="00AF3058" w:rsidRDefault="00AF3058" w:rsidP="00AF3058">
      <w:pPr>
        <w:jc w:val="both"/>
        <w:rPr>
          <w:bCs/>
        </w:rPr>
      </w:pPr>
    </w:p>
    <w:p w14:paraId="0B9F5D6C" w14:textId="77777777" w:rsidR="00AF3058" w:rsidRPr="00F42706" w:rsidRDefault="00AF3058" w:rsidP="00AF305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</w:t>
      </w:r>
      <w:r w:rsidRPr="00F42706">
        <w:rPr>
          <w:b/>
          <w:sz w:val="22"/>
          <w:szCs w:val="22"/>
        </w:rPr>
        <w:t xml:space="preserve">                  </w:t>
      </w:r>
    </w:p>
    <w:p w14:paraId="7BCFAEDB" w14:textId="77777777" w:rsidR="00AF3058" w:rsidRPr="00F42706" w:rsidRDefault="00AF3058" w:rsidP="00AF3058">
      <w:pPr>
        <w:jc w:val="center"/>
        <w:rPr>
          <w:b/>
        </w:rPr>
      </w:pPr>
      <w:r w:rsidRPr="00F42706">
        <w:rPr>
          <w:b/>
        </w:rPr>
        <w:t>Bilješke uz Izvještaj o obvezama</w:t>
      </w:r>
    </w:p>
    <w:p w14:paraId="6973F15B" w14:textId="77777777" w:rsidR="00AF3058" w:rsidRPr="00F42706" w:rsidRDefault="00AF3058" w:rsidP="00AF3058">
      <w:pPr>
        <w:jc w:val="center"/>
        <w:rPr>
          <w:b/>
        </w:rPr>
      </w:pPr>
      <w:r w:rsidRPr="00F42706">
        <w:rPr>
          <w:b/>
        </w:rPr>
        <w:t>OBVEZE</w:t>
      </w:r>
    </w:p>
    <w:p w14:paraId="1FFF1C2F" w14:textId="77777777" w:rsidR="00AF3058" w:rsidRPr="00F42706" w:rsidRDefault="00AF3058" w:rsidP="00AF3058"/>
    <w:p w14:paraId="18E8EEAC" w14:textId="77777777" w:rsidR="00AF3058" w:rsidRPr="00F42706" w:rsidRDefault="00AF3058" w:rsidP="00AF3058">
      <w:r w:rsidRPr="00F42706">
        <w:t xml:space="preserve">                       </w:t>
      </w:r>
    </w:p>
    <w:p w14:paraId="3B190DC8" w14:textId="77777777" w:rsidR="00AF3058" w:rsidRDefault="00AF3058" w:rsidP="00AF3058">
      <w:pPr>
        <w:rPr>
          <w:b/>
          <w:bCs/>
        </w:rPr>
      </w:pPr>
      <w:r w:rsidRPr="00751207">
        <w:rPr>
          <w:b/>
          <w:bCs/>
          <w:highlight w:val="lightGray"/>
        </w:rPr>
        <w:t>Bilješke uz poziciju V001 – stanje obveza 1. siječnja</w:t>
      </w:r>
      <w:r w:rsidRPr="00751207">
        <w:rPr>
          <w:b/>
          <w:bCs/>
        </w:rPr>
        <w:t xml:space="preserve">    </w:t>
      </w:r>
    </w:p>
    <w:p w14:paraId="4B328E91" w14:textId="70381F9C" w:rsidR="00AF3058" w:rsidRPr="00FF16EB" w:rsidRDefault="00F74CCB" w:rsidP="00AF3058">
      <w:pPr>
        <w:jc w:val="both"/>
      </w:pPr>
      <w:r>
        <w:t>Jednako je s</w:t>
      </w:r>
      <w:r w:rsidR="00AF3058" w:rsidRPr="00FF16EB">
        <w:t>tanj</w:t>
      </w:r>
      <w:r>
        <w:t>u</w:t>
      </w:r>
      <w:r w:rsidR="00AF3058" w:rsidRPr="00FF16EB">
        <w:t xml:space="preserve"> obveza na </w:t>
      </w:r>
      <w:r>
        <w:t>3</w:t>
      </w:r>
      <w:r w:rsidR="00AF3058" w:rsidRPr="00FF16EB">
        <w:t xml:space="preserve">1. </w:t>
      </w:r>
      <w:r>
        <w:t>prosinac</w:t>
      </w:r>
      <w:r w:rsidR="00AF3058" w:rsidRPr="00FF16EB">
        <w:t xml:space="preserve"> 202</w:t>
      </w:r>
      <w:r>
        <w:t>3</w:t>
      </w:r>
      <w:r w:rsidR="00AF3058" w:rsidRPr="00FF16EB">
        <w:t>. godine odnosi se na nepodmirene obveze za plaću za 12. mjesec 202</w:t>
      </w:r>
      <w:r>
        <w:t>3</w:t>
      </w:r>
      <w:r w:rsidR="00AF3058" w:rsidRPr="00FF16EB">
        <w:t>. godine, te na režijske troškove kojima je dospijeće plaćanja u siječnju 202</w:t>
      </w:r>
      <w:r w:rsidR="00AF3058">
        <w:t>4</w:t>
      </w:r>
      <w:r w:rsidR="00AF3058" w:rsidRPr="00FF16EB">
        <w:t>. godine.</w:t>
      </w:r>
      <w:r w:rsidR="00AF3058">
        <w:t xml:space="preserve"> </w:t>
      </w:r>
    </w:p>
    <w:p w14:paraId="6D943381" w14:textId="77777777" w:rsidR="00AF3058" w:rsidRDefault="00AF3058" w:rsidP="00AF3058">
      <w:pPr>
        <w:rPr>
          <w:b/>
          <w:bCs/>
        </w:rPr>
      </w:pPr>
    </w:p>
    <w:p w14:paraId="6988CC1B" w14:textId="77777777" w:rsidR="00AF3058" w:rsidRDefault="00AF3058" w:rsidP="00AF3058">
      <w:pPr>
        <w:rPr>
          <w:b/>
          <w:bCs/>
        </w:rPr>
      </w:pPr>
      <w:r w:rsidRPr="001E034A">
        <w:rPr>
          <w:b/>
          <w:bCs/>
          <w:highlight w:val="lightGray"/>
        </w:rPr>
        <w:t>Bilješke uz poziciju V002 – povećanje obveza u izvještajnom razdoblju i V004 – podmirene obveze u izvještajnom razdoblju</w:t>
      </w:r>
    </w:p>
    <w:p w14:paraId="400B058B" w14:textId="2618CD2F" w:rsidR="00AF3058" w:rsidRPr="00FF16EB" w:rsidRDefault="00AF3058" w:rsidP="00AF3058">
      <w:pPr>
        <w:jc w:val="both"/>
      </w:pPr>
      <w:r w:rsidRPr="00FF16EB">
        <w:t xml:space="preserve">Povećanje obveza u izvještajnom razdoblju u iznosu od </w:t>
      </w:r>
      <w:r w:rsidR="00F74CCB">
        <w:t>3.286.934,42</w:t>
      </w:r>
      <w:r>
        <w:t xml:space="preserve"> €</w:t>
      </w:r>
      <w:r w:rsidRPr="00FF16EB">
        <w:t xml:space="preserve"> i podmirene obveze u iznosu od </w:t>
      </w:r>
      <w:r w:rsidR="00F74CCB">
        <w:t>3.277.840,18</w:t>
      </w:r>
      <w:r>
        <w:t xml:space="preserve"> €</w:t>
      </w:r>
      <w:r w:rsidRPr="00FF16EB">
        <w:t>.</w:t>
      </w:r>
    </w:p>
    <w:p w14:paraId="01E08841" w14:textId="77777777" w:rsidR="00AF3058" w:rsidRDefault="00AF3058" w:rsidP="00AF3058">
      <w:pPr>
        <w:rPr>
          <w:b/>
          <w:bCs/>
        </w:rPr>
      </w:pPr>
    </w:p>
    <w:p w14:paraId="1DD7E887" w14:textId="75DFF7C4" w:rsidR="00AF3058" w:rsidRDefault="00AF3058" w:rsidP="00AF3058">
      <w:pPr>
        <w:jc w:val="both"/>
        <w:rPr>
          <w:b/>
          <w:bCs/>
        </w:rPr>
      </w:pPr>
      <w:r w:rsidRPr="001E034A">
        <w:rPr>
          <w:b/>
          <w:bCs/>
          <w:highlight w:val="lightGray"/>
        </w:rPr>
        <w:t>Bilješke uz poziciju V006 – Stanje obveza na kraju izvještajnog razdoblja</w:t>
      </w:r>
    </w:p>
    <w:p w14:paraId="7F003E63" w14:textId="77777777" w:rsidR="00AF3058" w:rsidRDefault="00AF3058" w:rsidP="00AF3058">
      <w:pPr>
        <w:jc w:val="both"/>
        <w:rPr>
          <w:b/>
          <w:bCs/>
        </w:rPr>
      </w:pPr>
    </w:p>
    <w:p w14:paraId="2CD0AD4A" w14:textId="2683A44E" w:rsidR="00F74CCB" w:rsidRDefault="00AF3058" w:rsidP="00AF3058">
      <w:pPr>
        <w:jc w:val="both"/>
      </w:pPr>
      <w:r>
        <w:t>Odnose se na nepodmirene obveze za plaću za 12. mjesec</w:t>
      </w:r>
      <w:r>
        <w:rPr>
          <w:b/>
          <w:bCs/>
        </w:rPr>
        <w:t xml:space="preserve"> </w:t>
      </w:r>
      <w:r>
        <w:t>202</w:t>
      </w:r>
      <w:r w:rsidR="00F74CCB">
        <w:t>4</w:t>
      </w:r>
      <w:r>
        <w:t xml:space="preserve">. godine, kao i na </w:t>
      </w:r>
      <w:r w:rsidR="00F74CCB">
        <w:t>materijalne</w:t>
      </w:r>
      <w:r>
        <w:t xml:space="preserve"> troškove kojima je dospijeće plaćanja siječanj 202</w:t>
      </w:r>
      <w:r w:rsidR="00F74CCB">
        <w:t>5</w:t>
      </w:r>
      <w:r>
        <w:t>. godine</w:t>
      </w:r>
      <w:r w:rsidR="009077DE">
        <w:t>, te na ostale tekuće obveze.</w:t>
      </w:r>
      <w:r>
        <w:t xml:space="preserve"> Dio obveza odnosi se i na obveze za nabavu nefinancijske imovine</w:t>
      </w:r>
      <w:r w:rsidR="00F74CCB">
        <w:t>.</w:t>
      </w:r>
    </w:p>
    <w:p w14:paraId="417DAFB4" w14:textId="77777777" w:rsidR="0044383D" w:rsidRDefault="0044383D" w:rsidP="00AF3058">
      <w:pPr>
        <w:jc w:val="both"/>
      </w:pPr>
    </w:p>
    <w:p w14:paraId="28A9B824" w14:textId="77777777" w:rsidR="0044383D" w:rsidRDefault="0044383D" w:rsidP="00AF3058">
      <w:pPr>
        <w:jc w:val="both"/>
      </w:pPr>
    </w:p>
    <w:p w14:paraId="59EF26F5" w14:textId="77777777" w:rsidR="004B10D7" w:rsidRDefault="004B10D7" w:rsidP="00AF3058">
      <w:pPr>
        <w:jc w:val="both"/>
      </w:pPr>
    </w:p>
    <w:p w14:paraId="5CB7BDC5" w14:textId="77777777" w:rsidR="004B10D7" w:rsidRDefault="004B10D7" w:rsidP="00AF3058">
      <w:pPr>
        <w:jc w:val="both"/>
      </w:pPr>
    </w:p>
    <w:p w14:paraId="273DD122" w14:textId="77777777" w:rsidR="0044383D" w:rsidRDefault="0044383D" w:rsidP="00AF3058">
      <w:pPr>
        <w:jc w:val="both"/>
      </w:pPr>
    </w:p>
    <w:p w14:paraId="50D5495B" w14:textId="77777777" w:rsidR="00F74CCB" w:rsidRDefault="00F74CCB" w:rsidP="00AF3058">
      <w:pPr>
        <w:jc w:val="both"/>
      </w:pPr>
    </w:p>
    <w:p w14:paraId="216C07AB" w14:textId="403E116A" w:rsidR="00F74CCB" w:rsidRPr="009077DE" w:rsidRDefault="00F74CCB" w:rsidP="00F74CCB">
      <w:pPr>
        <w:jc w:val="center"/>
        <w:rPr>
          <w:b/>
          <w:bCs/>
        </w:rPr>
      </w:pPr>
      <w:r w:rsidRPr="009077DE">
        <w:rPr>
          <w:b/>
          <w:bCs/>
        </w:rPr>
        <w:t>Specifikacije nedospjelih obveza</w:t>
      </w:r>
    </w:p>
    <w:tbl>
      <w:tblPr>
        <w:tblW w:w="9412" w:type="dxa"/>
        <w:tblInd w:w="-10" w:type="dxa"/>
        <w:tblLook w:val="04A0" w:firstRow="1" w:lastRow="0" w:firstColumn="1" w:lastColumn="0" w:noHBand="0" w:noVBand="1"/>
      </w:tblPr>
      <w:tblGrid>
        <w:gridCol w:w="1103"/>
        <w:gridCol w:w="6472"/>
        <w:gridCol w:w="1837"/>
      </w:tblGrid>
      <w:tr w:rsidR="00F74CCB" w:rsidRPr="009077DE" w14:paraId="1C662CE3" w14:textId="77777777" w:rsidTr="00691A77">
        <w:trPr>
          <w:trHeight w:val="335"/>
        </w:trPr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86EFC45" w14:textId="77777777" w:rsidR="00F74CCB" w:rsidRPr="009077DE" w:rsidRDefault="00F74CCB" w:rsidP="00691A77">
            <w:pPr>
              <w:jc w:val="both"/>
              <w:rPr>
                <w:b/>
                <w:bCs/>
                <w:i/>
                <w:iCs/>
                <w:color w:val="000000"/>
                <w:lang w:val="en-US" w:eastAsia="en-US"/>
              </w:rPr>
            </w:pPr>
            <w:r w:rsidRPr="009077DE">
              <w:rPr>
                <w:b/>
                <w:bCs/>
                <w:i/>
                <w:iCs/>
                <w:color w:val="000000" w:themeColor="text1"/>
                <w:lang w:eastAsia="en-US"/>
              </w:rPr>
              <w:t>Obveze</w:t>
            </w:r>
          </w:p>
        </w:tc>
        <w:tc>
          <w:tcPr>
            <w:tcW w:w="6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4D0B20A" w14:textId="77777777" w:rsidR="00F74CCB" w:rsidRPr="009077DE" w:rsidRDefault="00F74CCB" w:rsidP="00691A77">
            <w:pPr>
              <w:jc w:val="both"/>
              <w:rPr>
                <w:b/>
                <w:bCs/>
                <w:i/>
                <w:iCs/>
                <w:color w:val="000000"/>
                <w:lang w:val="en-US" w:eastAsia="en-US"/>
              </w:rPr>
            </w:pPr>
            <w:r w:rsidRPr="009077DE">
              <w:rPr>
                <w:b/>
                <w:bCs/>
                <w:i/>
                <w:iCs/>
                <w:color w:val="000000" w:themeColor="text1"/>
                <w:lang w:eastAsia="en-US"/>
              </w:rPr>
              <w:t>Opis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54B14B5" w14:textId="77777777" w:rsidR="00F74CCB" w:rsidRPr="009077DE" w:rsidRDefault="00F74CCB" w:rsidP="00691A77">
            <w:pPr>
              <w:jc w:val="right"/>
              <w:rPr>
                <w:b/>
                <w:bCs/>
                <w:i/>
                <w:iCs/>
                <w:color w:val="000000"/>
                <w:lang w:val="en-US" w:eastAsia="en-US"/>
              </w:rPr>
            </w:pPr>
            <w:r w:rsidRPr="009077DE">
              <w:rPr>
                <w:b/>
                <w:bCs/>
                <w:i/>
                <w:iCs/>
                <w:color w:val="000000" w:themeColor="text1"/>
                <w:lang w:eastAsia="en-US"/>
              </w:rPr>
              <w:t>Iznos</w:t>
            </w:r>
          </w:p>
        </w:tc>
      </w:tr>
      <w:tr w:rsidR="00F74CCB" w:rsidRPr="009077DE" w14:paraId="6B792494" w14:textId="77777777" w:rsidTr="00691A77">
        <w:trPr>
          <w:trHeight w:val="335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4BEBC" w14:textId="77777777" w:rsidR="00F74CCB" w:rsidRPr="009077DE" w:rsidRDefault="00F74CCB" w:rsidP="00691A77">
            <w:pPr>
              <w:jc w:val="both"/>
              <w:rPr>
                <w:i/>
                <w:iCs/>
                <w:color w:val="000000"/>
                <w:lang w:val="en-US" w:eastAsia="en-US"/>
              </w:rPr>
            </w:pPr>
            <w:r w:rsidRPr="009077DE">
              <w:rPr>
                <w:i/>
                <w:iCs/>
                <w:color w:val="000000" w:themeColor="text1"/>
                <w:lang w:eastAsia="en-US"/>
              </w:rPr>
              <w:t>231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5E399" w14:textId="77777777" w:rsidR="00F74CCB" w:rsidRPr="009077DE" w:rsidRDefault="00F74CCB" w:rsidP="00691A77">
            <w:pPr>
              <w:jc w:val="both"/>
              <w:rPr>
                <w:color w:val="000000"/>
                <w:lang w:val="en-US" w:eastAsia="en-US"/>
              </w:rPr>
            </w:pPr>
            <w:r w:rsidRPr="009077DE">
              <w:rPr>
                <w:color w:val="000000" w:themeColor="text1"/>
                <w:lang w:eastAsia="en-US"/>
              </w:rPr>
              <w:t>Obveze za zaposlene (plaća za 12.mj)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9525A" w14:textId="0019F0ED" w:rsidR="00F74CCB" w:rsidRPr="009077DE" w:rsidRDefault="00F74CCB" w:rsidP="00691A77">
            <w:pPr>
              <w:jc w:val="right"/>
              <w:rPr>
                <w:color w:val="000000"/>
                <w:lang w:val="en-US" w:eastAsia="en-US"/>
              </w:rPr>
            </w:pPr>
            <w:r w:rsidRPr="009077DE">
              <w:rPr>
                <w:color w:val="000000" w:themeColor="text1"/>
                <w:lang w:eastAsia="en-US"/>
              </w:rPr>
              <w:t>237.678,48</w:t>
            </w:r>
          </w:p>
        </w:tc>
      </w:tr>
      <w:tr w:rsidR="00F74CCB" w:rsidRPr="009077DE" w14:paraId="2DDC6B79" w14:textId="77777777" w:rsidTr="00691A77">
        <w:trPr>
          <w:trHeight w:val="335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D3276" w14:textId="77777777" w:rsidR="00F74CCB" w:rsidRPr="009077DE" w:rsidRDefault="00F74CCB" w:rsidP="00691A77">
            <w:pPr>
              <w:jc w:val="both"/>
              <w:rPr>
                <w:i/>
                <w:iCs/>
                <w:color w:val="000000"/>
                <w:lang w:val="en-US" w:eastAsia="en-US"/>
              </w:rPr>
            </w:pPr>
            <w:r w:rsidRPr="009077DE">
              <w:rPr>
                <w:i/>
                <w:iCs/>
                <w:color w:val="000000" w:themeColor="text1"/>
                <w:lang w:eastAsia="en-US"/>
              </w:rPr>
              <w:t>232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59389" w14:textId="77777777" w:rsidR="00F74CCB" w:rsidRPr="009077DE" w:rsidRDefault="00F74CCB" w:rsidP="00691A77">
            <w:pPr>
              <w:jc w:val="both"/>
              <w:rPr>
                <w:color w:val="000000"/>
                <w:lang w:val="en-US" w:eastAsia="en-US"/>
              </w:rPr>
            </w:pPr>
            <w:r w:rsidRPr="009077DE">
              <w:rPr>
                <w:color w:val="000000" w:themeColor="text1"/>
                <w:lang w:eastAsia="en-US"/>
              </w:rPr>
              <w:t>Obveze za materijalne rashode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9D139" w14:textId="3185D883" w:rsidR="00F74CCB" w:rsidRPr="009077DE" w:rsidRDefault="00F74CCB" w:rsidP="00691A77">
            <w:pPr>
              <w:jc w:val="right"/>
              <w:rPr>
                <w:color w:val="000000"/>
                <w:lang w:val="en-US" w:eastAsia="en-US"/>
              </w:rPr>
            </w:pPr>
            <w:r w:rsidRPr="009077DE">
              <w:rPr>
                <w:color w:val="000000" w:themeColor="text1"/>
                <w:lang w:eastAsia="en-US"/>
              </w:rPr>
              <w:t>35.282,40</w:t>
            </w:r>
          </w:p>
        </w:tc>
      </w:tr>
      <w:tr w:rsidR="00F74CCB" w:rsidRPr="009077DE" w14:paraId="46319BDF" w14:textId="77777777" w:rsidTr="00691A77">
        <w:trPr>
          <w:trHeight w:val="335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3CCDB" w14:textId="77777777" w:rsidR="00F74CCB" w:rsidRPr="009077DE" w:rsidRDefault="00F74CCB" w:rsidP="00691A77">
            <w:pPr>
              <w:jc w:val="both"/>
              <w:rPr>
                <w:i/>
                <w:iCs/>
                <w:color w:val="000000"/>
                <w:lang w:val="en-US" w:eastAsia="en-US"/>
              </w:rPr>
            </w:pPr>
            <w:r w:rsidRPr="009077DE">
              <w:rPr>
                <w:i/>
                <w:iCs/>
                <w:color w:val="000000" w:themeColor="text1"/>
                <w:lang w:eastAsia="en-US"/>
              </w:rPr>
              <w:t>239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6EDD7" w14:textId="77777777" w:rsidR="00F74CCB" w:rsidRPr="009077DE" w:rsidRDefault="00F74CCB" w:rsidP="00691A77">
            <w:pPr>
              <w:jc w:val="both"/>
              <w:rPr>
                <w:color w:val="000000"/>
                <w:lang w:val="en-US" w:eastAsia="en-US"/>
              </w:rPr>
            </w:pPr>
            <w:r w:rsidRPr="009077DE">
              <w:rPr>
                <w:color w:val="000000" w:themeColor="text1"/>
                <w:lang w:eastAsia="en-US"/>
              </w:rPr>
              <w:t>Ostale tekuće obveze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F0363" w14:textId="351B53D4" w:rsidR="00F74CCB" w:rsidRPr="009077DE" w:rsidRDefault="009077DE" w:rsidP="00691A77">
            <w:pPr>
              <w:jc w:val="right"/>
              <w:rPr>
                <w:color w:val="000000"/>
                <w:lang w:val="en-US" w:eastAsia="en-US"/>
              </w:rPr>
            </w:pPr>
            <w:r w:rsidRPr="009077DE">
              <w:rPr>
                <w:color w:val="000000" w:themeColor="text1"/>
                <w:lang w:eastAsia="en-US"/>
              </w:rPr>
              <w:t>5.274,12</w:t>
            </w:r>
          </w:p>
        </w:tc>
      </w:tr>
      <w:tr w:rsidR="009077DE" w:rsidRPr="009077DE" w14:paraId="7DADADE6" w14:textId="77777777" w:rsidTr="00691A77">
        <w:trPr>
          <w:trHeight w:val="335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EB1556" w14:textId="4768424F" w:rsidR="009077DE" w:rsidRPr="009077DE" w:rsidRDefault="009077DE" w:rsidP="00691A77">
            <w:pPr>
              <w:jc w:val="both"/>
              <w:rPr>
                <w:i/>
                <w:iCs/>
                <w:color w:val="000000" w:themeColor="text1"/>
                <w:lang w:eastAsia="en-US"/>
              </w:rPr>
            </w:pPr>
            <w:r w:rsidRPr="009077DE">
              <w:rPr>
                <w:i/>
                <w:iCs/>
                <w:color w:val="000000" w:themeColor="text1"/>
                <w:lang w:eastAsia="en-US"/>
              </w:rPr>
              <w:t>242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9E759C" w14:textId="21D59774" w:rsidR="009077DE" w:rsidRPr="009077DE" w:rsidRDefault="009077DE" w:rsidP="00691A77">
            <w:pPr>
              <w:jc w:val="both"/>
              <w:rPr>
                <w:color w:val="000000" w:themeColor="text1"/>
                <w:lang w:eastAsia="en-US"/>
              </w:rPr>
            </w:pPr>
            <w:r w:rsidRPr="009077DE">
              <w:rPr>
                <w:color w:val="000000" w:themeColor="text1"/>
                <w:lang w:eastAsia="en-US"/>
              </w:rPr>
              <w:t>Obveze za nabavu nefinancijske imovine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2B4C5" w14:textId="22EAFAF7" w:rsidR="009077DE" w:rsidRPr="009077DE" w:rsidRDefault="009077DE" w:rsidP="00691A77">
            <w:pPr>
              <w:jc w:val="right"/>
              <w:rPr>
                <w:color w:val="000000" w:themeColor="text1"/>
                <w:lang w:eastAsia="en-US"/>
              </w:rPr>
            </w:pPr>
            <w:r w:rsidRPr="009077DE">
              <w:rPr>
                <w:color w:val="000000" w:themeColor="text1"/>
                <w:lang w:eastAsia="en-US"/>
              </w:rPr>
              <w:t>4.020,43</w:t>
            </w:r>
          </w:p>
        </w:tc>
      </w:tr>
      <w:tr w:rsidR="00F74CCB" w:rsidRPr="009077DE" w14:paraId="30B27072" w14:textId="77777777" w:rsidTr="00691A77">
        <w:trPr>
          <w:trHeight w:val="335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5889C" w14:textId="77777777" w:rsidR="00F74CCB" w:rsidRPr="009077DE" w:rsidRDefault="00F74CCB" w:rsidP="00691A77">
            <w:pPr>
              <w:jc w:val="both"/>
              <w:rPr>
                <w:b/>
                <w:bCs/>
                <w:i/>
                <w:iCs/>
                <w:color w:val="000000"/>
                <w:lang w:val="en-US" w:eastAsia="en-US"/>
              </w:rPr>
            </w:pPr>
            <w:r w:rsidRPr="009077DE">
              <w:rPr>
                <w:b/>
                <w:bCs/>
                <w:i/>
                <w:iCs/>
                <w:color w:val="000000" w:themeColor="text1"/>
                <w:lang w:eastAsia="en-US"/>
              </w:rPr>
              <w:t> 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6B744" w14:textId="77777777" w:rsidR="00F74CCB" w:rsidRPr="009077DE" w:rsidRDefault="00F74CCB" w:rsidP="00691A77">
            <w:pPr>
              <w:jc w:val="both"/>
              <w:rPr>
                <w:b/>
                <w:bCs/>
                <w:color w:val="000000"/>
                <w:lang w:val="en-US" w:eastAsia="en-US"/>
              </w:rPr>
            </w:pPr>
            <w:r w:rsidRPr="009077DE">
              <w:rPr>
                <w:b/>
                <w:bCs/>
                <w:color w:val="000000" w:themeColor="text1"/>
                <w:lang w:eastAsia="en-US"/>
              </w:rPr>
              <w:t>UKUPNO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18970" w14:textId="117194EE" w:rsidR="00F74CCB" w:rsidRPr="009077DE" w:rsidRDefault="009077DE" w:rsidP="00691A77">
            <w:pPr>
              <w:jc w:val="right"/>
              <w:rPr>
                <w:b/>
                <w:bCs/>
                <w:color w:val="000000"/>
                <w:lang w:val="en-US" w:eastAsia="en-US"/>
              </w:rPr>
            </w:pPr>
            <w:r w:rsidRPr="009077DE">
              <w:rPr>
                <w:b/>
                <w:bCs/>
                <w:color w:val="000000" w:themeColor="text1"/>
                <w:lang w:eastAsia="en-US"/>
              </w:rPr>
              <w:t>282.255,43</w:t>
            </w:r>
          </w:p>
        </w:tc>
      </w:tr>
    </w:tbl>
    <w:p w14:paraId="6D1E1179" w14:textId="5C94BAF6" w:rsidR="00AF3058" w:rsidRPr="00751207" w:rsidRDefault="00AF3058" w:rsidP="00AF3058">
      <w:pPr>
        <w:jc w:val="both"/>
        <w:rPr>
          <w:b/>
          <w:bCs/>
        </w:rPr>
      </w:pPr>
      <w:r w:rsidRPr="00751207">
        <w:rPr>
          <w:b/>
          <w:bCs/>
        </w:rPr>
        <w:t xml:space="preserve">                     </w:t>
      </w:r>
    </w:p>
    <w:p w14:paraId="21015BF4" w14:textId="77777777" w:rsidR="00AF3058" w:rsidRDefault="00AF3058" w:rsidP="00AF3058"/>
    <w:p w14:paraId="0A00C34A" w14:textId="77777777" w:rsidR="00AF3058" w:rsidRPr="000B0C1C" w:rsidRDefault="00AF3058" w:rsidP="00AF3058">
      <w:pPr>
        <w:jc w:val="center"/>
        <w:rPr>
          <w:b/>
        </w:rPr>
      </w:pPr>
      <w:r w:rsidRPr="000B0C1C">
        <w:rPr>
          <w:b/>
        </w:rPr>
        <w:t>Bilješke uz Izvještaj o rashodima prema funkcijskoj klasifikaciji</w:t>
      </w:r>
    </w:p>
    <w:p w14:paraId="5A5094EB" w14:textId="77777777" w:rsidR="00AF3058" w:rsidRPr="000B0C1C" w:rsidRDefault="00AF3058" w:rsidP="00AF3058">
      <w:pPr>
        <w:jc w:val="center"/>
        <w:rPr>
          <w:b/>
        </w:rPr>
      </w:pPr>
    </w:p>
    <w:p w14:paraId="606DED8F" w14:textId="77777777" w:rsidR="00AF3058" w:rsidRPr="000B0C1C" w:rsidRDefault="00AF3058" w:rsidP="00AF3058">
      <w:pPr>
        <w:jc w:val="center"/>
        <w:rPr>
          <w:b/>
        </w:rPr>
      </w:pPr>
      <w:r w:rsidRPr="000B0C1C">
        <w:rPr>
          <w:b/>
        </w:rPr>
        <w:t>Obrazac RAS-funkcijski</w:t>
      </w:r>
    </w:p>
    <w:p w14:paraId="743F8041" w14:textId="77777777" w:rsidR="00AF3058" w:rsidRPr="000B0C1C" w:rsidRDefault="00AF3058" w:rsidP="00AF3058">
      <w:pPr>
        <w:rPr>
          <w:b/>
        </w:rPr>
      </w:pPr>
    </w:p>
    <w:p w14:paraId="432840BD" w14:textId="7532D440" w:rsidR="00AF3058" w:rsidRPr="000E6CDB" w:rsidRDefault="00AF3058" w:rsidP="00AF3058">
      <w:pPr>
        <w:jc w:val="both"/>
        <w:rPr>
          <w:rFonts w:eastAsia="SimSun"/>
          <w:lang w:eastAsia="zh-CN"/>
        </w:rPr>
      </w:pPr>
      <w:r>
        <w:rPr>
          <w:rFonts w:eastAsia="SimSun"/>
          <w:lang w:val="en-US" w:eastAsia="zh-CN"/>
        </w:rPr>
        <w:t>Dje</w:t>
      </w:r>
      <w:r>
        <w:rPr>
          <w:rFonts w:eastAsia="SimSun"/>
          <w:lang w:eastAsia="zh-CN"/>
        </w:rPr>
        <w:t xml:space="preserve">čji vrtić povezan je uz funkciju </w:t>
      </w:r>
      <w:r>
        <w:rPr>
          <w:rFonts w:eastAsia="SimSun"/>
          <w:b/>
          <w:bCs/>
          <w:lang w:eastAsia="zh-CN"/>
        </w:rPr>
        <w:t>0911 Predškolsko obrazovanje</w:t>
      </w:r>
      <w:r>
        <w:rPr>
          <w:rFonts w:eastAsia="SimSun"/>
          <w:lang w:eastAsia="zh-CN"/>
        </w:rPr>
        <w:t xml:space="preserve"> dok se troškovi prehrane djece iskazuju u okviru funkcije </w:t>
      </w:r>
      <w:r>
        <w:rPr>
          <w:rFonts w:eastAsia="SimSun"/>
          <w:b/>
          <w:bCs/>
          <w:lang w:eastAsia="zh-CN"/>
        </w:rPr>
        <w:t>096 Dodatne usluge u obrazovanju</w:t>
      </w:r>
      <w:r>
        <w:rPr>
          <w:rFonts w:eastAsia="SimSun"/>
          <w:lang w:eastAsia="zh-CN"/>
        </w:rPr>
        <w:t xml:space="preserve"> i oni iznose </w:t>
      </w:r>
      <w:r w:rsidR="009077DE">
        <w:rPr>
          <w:rFonts w:eastAsia="SimSun"/>
          <w:lang w:eastAsia="zh-CN"/>
        </w:rPr>
        <w:t>120.967,27</w:t>
      </w:r>
      <w:r>
        <w:rPr>
          <w:rFonts w:eastAsia="SimSun"/>
          <w:lang w:eastAsia="zh-CN"/>
        </w:rPr>
        <w:t xml:space="preserve"> €.</w:t>
      </w:r>
    </w:p>
    <w:p w14:paraId="7A4867B3" w14:textId="77777777" w:rsidR="00AF3058" w:rsidRPr="000E6CDB" w:rsidRDefault="00AF3058" w:rsidP="00AF3058">
      <w:pPr>
        <w:jc w:val="both"/>
        <w:rPr>
          <w:rFonts w:eastAsia="SimSun"/>
          <w:lang w:eastAsia="zh-CN"/>
        </w:rPr>
      </w:pPr>
    </w:p>
    <w:p w14:paraId="46BF4473" w14:textId="77777777" w:rsidR="00AF3058" w:rsidRPr="000B0C1C" w:rsidRDefault="00AF3058" w:rsidP="00AF3058"/>
    <w:p w14:paraId="32B1C486" w14:textId="2DBD7276" w:rsidR="00AF3058" w:rsidRDefault="00AF3058" w:rsidP="00AF3058"/>
    <w:p w14:paraId="1D735F5E" w14:textId="77777777" w:rsidR="00AF3058" w:rsidRPr="000B0C1C" w:rsidRDefault="00AF3058" w:rsidP="00AF3058">
      <w:pPr>
        <w:jc w:val="center"/>
        <w:rPr>
          <w:b/>
        </w:rPr>
      </w:pPr>
      <w:r w:rsidRPr="000B0C1C">
        <w:rPr>
          <w:b/>
        </w:rPr>
        <w:t>Bilješke uz Izvještaj o promjenama u vrijednosti i obujmu imovine i obveza</w:t>
      </w:r>
    </w:p>
    <w:p w14:paraId="6E1E4DE5" w14:textId="77777777" w:rsidR="00AF3058" w:rsidRPr="000B0C1C" w:rsidRDefault="00AF3058" w:rsidP="00AF3058">
      <w:pPr>
        <w:jc w:val="center"/>
        <w:rPr>
          <w:b/>
        </w:rPr>
      </w:pPr>
      <w:r w:rsidRPr="000B0C1C">
        <w:rPr>
          <w:b/>
        </w:rPr>
        <w:t>Obrazac P-VRIO</w:t>
      </w:r>
    </w:p>
    <w:p w14:paraId="1B9F459A" w14:textId="77777777" w:rsidR="00AF3058" w:rsidRPr="000B0C1C" w:rsidRDefault="00AF3058" w:rsidP="00AF3058">
      <w:pPr>
        <w:rPr>
          <w:b/>
        </w:rPr>
      </w:pPr>
    </w:p>
    <w:p w14:paraId="1CEAB70B" w14:textId="136723AF" w:rsidR="009077DE" w:rsidRPr="009077DE" w:rsidRDefault="009077DE" w:rsidP="009077DE">
      <w:pPr>
        <w:spacing w:line="276" w:lineRule="auto"/>
        <w:jc w:val="both"/>
        <w:rPr>
          <w:bCs/>
        </w:rPr>
      </w:pPr>
      <w:r w:rsidRPr="009077DE">
        <w:rPr>
          <w:bCs/>
        </w:rPr>
        <w:t xml:space="preserve">Dječji vrtić Sisak Novi u 2024. godini nije imao promjene na obujmu imovine unutar računa 915 računskog plana. </w:t>
      </w:r>
    </w:p>
    <w:p w14:paraId="0895EE0C" w14:textId="7FF0A216" w:rsidR="00AF3058" w:rsidRDefault="00AF3058" w:rsidP="00AF3058">
      <w:r w:rsidRPr="00D331FA">
        <w:t xml:space="preserve">        </w:t>
      </w:r>
    </w:p>
    <w:p w14:paraId="168526BF" w14:textId="4D871FC0" w:rsidR="00AF3058" w:rsidRPr="00D331FA" w:rsidRDefault="00AF3058" w:rsidP="00AF3058">
      <w:r w:rsidRPr="00D331FA">
        <w:t xml:space="preserve">     </w:t>
      </w:r>
    </w:p>
    <w:p w14:paraId="0D2C1DDE" w14:textId="5E26F25D" w:rsidR="00AF3058" w:rsidRPr="004C45E6" w:rsidRDefault="00AF3058" w:rsidP="00AF3058">
      <w:r w:rsidRPr="004C45E6">
        <w:t xml:space="preserve">Sisak, </w:t>
      </w:r>
      <w:r w:rsidR="009077DE">
        <w:t>29</w:t>
      </w:r>
      <w:r w:rsidRPr="004C45E6">
        <w:t>.01.202</w:t>
      </w:r>
      <w:r w:rsidR="009077DE">
        <w:t>5</w:t>
      </w:r>
      <w:r w:rsidRPr="004C45E6">
        <w:t>.</w:t>
      </w:r>
    </w:p>
    <w:p w14:paraId="70829521" w14:textId="77777777" w:rsidR="00AF3058" w:rsidRPr="004C45E6" w:rsidRDefault="00AF3058" w:rsidP="00AF3058"/>
    <w:p w14:paraId="7FF0FFE1" w14:textId="06045E50" w:rsidR="00AF3058" w:rsidRPr="004C45E6" w:rsidRDefault="00D47EF2" w:rsidP="00AF3058">
      <w:r>
        <w:t>Bilješke sastavila</w:t>
      </w:r>
      <w:r w:rsidR="00AF3058" w:rsidRPr="004C45E6">
        <w:t xml:space="preserve">:                                                                         </w:t>
      </w:r>
      <w:r>
        <w:t xml:space="preserve">  </w:t>
      </w:r>
      <w:r w:rsidR="00AF3058" w:rsidRPr="004C45E6">
        <w:t>Zakonski  predstavnik:</w:t>
      </w:r>
    </w:p>
    <w:p w14:paraId="08DAA33D" w14:textId="77777777" w:rsidR="00AF3058" w:rsidRPr="004C45E6" w:rsidRDefault="00AF3058" w:rsidP="00AF3058"/>
    <w:p w14:paraId="46B517DA" w14:textId="77777777" w:rsidR="00AF3058" w:rsidRPr="004C45E6" w:rsidRDefault="00AF3058" w:rsidP="00AF3058">
      <w:r w:rsidRPr="004C45E6">
        <w:t>_______________                                                                         ___________________</w:t>
      </w:r>
    </w:p>
    <w:p w14:paraId="78359458" w14:textId="2B91AC58" w:rsidR="000B32FA" w:rsidRDefault="00AF3058" w:rsidP="0044383D">
      <w:r w:rsidRPr="00F42706">
        <w:t xml:space="preserve">/  </w:t>
      </w:r>
      <w:r>
        <w:t>Mea Kovačević</w:t>
      </w:r>
      <w:r w:rsidRPr="00F42706">
        <w:t xml:space="preserve">  /                                                                  </w:t>
      </w:r>
      <w:r>
        <w:t xml:space="preserve">        </w:t>
      </w:r>
      <w:r w:rsidRPr="00F42706">
        <w:t xml:space="preserve"> /  Sandra Kramarić </w:t>
      </w:r>
      <w:r w:rsidR="0044383D">
        <w:t>/</w:t>
      </w:r>
    </w:p>
    <w:p w14:paraId="3A88DC45" w14:textId="77777777" w:rsidR="000B32FA" w:rsidRDefault="000B32FA" w:rsidP="00E205FC">
      <w:pPr>
        <w:tabs>
          <w:tab w:val="left" w:pos="7755"/>
        </w:tabs>
      </w:pPr>
    </w:p>
    <w:p w14:paraId="2F7716EA" w14:textId="77777777" w:rsidR="000B32FA" w:rsidRDefault="000B32FA" w:rsidP="00E205FC">
      <w:pPr>
        <w:tabs>
          <w:tab w:val="left" w:pos="7755"/>
        </w:tabs>
      </w:pPr>
    </w:p>
    <w:p w14:paraId="06B6CC4E" w14:textId="77777777" w:rsidR="000B32FA" w:rsidRDefault="000B32FA" w:rsidP="00E205FC">
      <w:pPr>
        <w:tabs>
          <w:tab w:val="left" w:pos="7755"/>
        </w:tabs>
      </w:pPr>
    </w:p>
    <w:p w14:paraId="2DC86FC7" w14:textId="77777777" w:rsidR="000B32FA" w:rsidRDefault="000B32FA" w:rsidP="00E205FC">
      <w:pPr>
        <w:tabs>
          <w:tab w:val="left" w:pos="7755"/>
        </w:tabs>
      </w:pPr>
    </w:p>
    <w:p w14:paraId="7D74FBE8" w14:textId="77777777" w:rsidR="000B32FA" w:rsidRDefault="000B32FA" w:rsidP="00E205FC">
      <w:pPr>
        <w:tabs>
          <w:tab w:val="left" w:pos="7755"/>
        </w:tabs>
      </w:pPr>
    </w:p>
    <w:p w14:paraId="0BF0F297" w14:textId="77777777" w:rsidR="000B32FA" w:rsidRDefault="000B32FA" w:rsidP="00E205FC">
      <w:pPr>
        <w:tabs>
          <w:tab w:val="left" w:pos="7755"/>
        </w:tabs>
      </w:pPr>
    </w:p>
    <w:p w14:paraId="1601847B" w14:textId="77777777" w:rsidR="00A124ED" w:rsidRPr="00A124ED" w:rsidRDefault="00A124ED" w:rsidP="00A124ED">
      <w:pPr>
        <w:tabs>
          <w:tab w:val="left" w:pos="7755"/>
        </w:tabs>
        <w:spacing w:line="360" w:lineRule="auto"/>
        <w:rPr>
          <w:color w:val="000000" w:themeColor="text1"/>
        </w:rPr>
      </w:pPr>
    </w:p>
    <w:p w14:paraId="534432B5" w14:textId="77777777" w:rsidR="00A124ED" w:rsidRDefault="00A124ED" w:rsidP="00A124ED">
      <w:pPr>
        <w:tabs>
          <w:tab w:val="left" w:pos="7755"/>
        </w:tabs>
        <w:spacing w:line="360" w:lineRule="auto"/>
      </w:pPr>
    </w:p>
    <w:sectPr w:rsidR="00A124ED" w:rsidSect="005C14A2">
      <w:headerReference w:type="default" r:id="rId8"/>
      <w:pgSz w:w="12240" w:h="15840"/>
      <w:pgMar w:top="1440" w:right="1440" w:bottom="1440" w:left="1440" w:header="283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291C4" w14:textId="77777777" w:rsidR="004B4F70" w:rsidRDefault="004B4F70" w:rsidP="00746FE7">
      <w:r>
        <w:separator/>
      </w:r>
    </w:p>
  </w:endnote>
  <w:endnote w:type="continuationSeparator" w:id="0">
    <w:p w14:paraId="4B3CDF38" w14:textId="77777777" w:rsidR="004B4F70" w:rsidRDefault="004B4F70" w:rsidP="00746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46723" w14:textId="77777777" w:rsidR="004B4F70" w:rsidRDefault="004B4F70" w:rsidP="00746FE7">
      <w:r>
        <w:separator/>
      </w:r>
    </w:p>
  </w:footnote>
  <w:footnote w:type="continuationSeparator" w:id="0">
    <w:p w14:paraId="6ECA4EE4" w14:textId="77777777" w:rsidR="004B4F70" w:rsidRDefault="004B4F70" w:rsidP="00746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140AD" w14:textId="28A19E14" w:rsidR="00746FE7" w:rsidRPr="005C14A2" w:rsidRDefault="005C14A2">
    <w:pPr>
      <w:pStyle w:val="Header"/>
      <w:rPr>
        <w:rFonts w:ascii="Arial" w:hAnsi="Arial" w:cs="Arial"/>
      </w:rPr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357469C" wp14:editId="063CB0E8">
              <wp:simplePos x="0" y="0"/>
              <wp:positionH relativeFrom="column">
                <wp:posOffset>2286000</wp:posOffset>
              </wp:positionH>
              <wp:positionV relativeFrom="paragraph">
                <wp:posOffset>10795</wp:posOffset>
              </wp:positionV>
              <wp:extent cx="3638550" cy="11144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8550" cy="1114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8ED02B" w14:textId="5B3A2E52" w:rsidR="0082186A" w:rsidRPr="005C14A2" w:rsidRDefault="0082186A" w:rsidP="005C14A2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5746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0pt;margin-top:.85pt;width:286.5pt;height:8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" filled="f" stroked="f">
              <v:textbox>
                <w:txbxContent>
                  <w:p w14:paraId="238ED02B" w14:textId="5B3A2E52" w:rsidR="0082186A" w:rsidRPr="005C14A2" w:rsidRDefault="0082186A" w:rsidP="005C14A2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30C0"/>
    <w:multiLevelType w:val="hybridMultilevel"/>
    <w:tmpl w:val="E2D6A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8176D"/>
    <w:multiLevelType w:val="hybridMultilevel"/>
    <w:tmpl w:val="235E1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B49C0"/>
    <w:multiLevelType w:val="hybridMultilevel"/>
    <w:tmpl w:val="A39E65A0"/>
    <w:lvl w:ilvl="0" w:tplc="942288E8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F67297"/>
    <w:multiLevelType w:val="hybridMultilevel"/>
    <w:tmpl w:val="576C2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2072E0"/>
    <w:multiLevelType w:val="hybridMultilevel"/>
    <w:tmpl w:val="5E789094"/>
    <w:lvl w:ilvl="0" w:tplc="814CB5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B1A55"/>
    <w:multiLevelType w:val="hybridMultilevel"/>
    <w:tmpl w:val="4C605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CBA"/>
    <w:rsid w:val="00086849"/>
    <w:rsid w:val="000B32FA"/>
    <w:rsid w:val="000C4192"/>
    <w:rsid w:val="000E7CCE"/>
    <w:rsid w:val="000F540F"/>
    <w:rsid w:val="00106027"/>
    <w:rsid w:val="0011376D"/>
    <w:rsid w:val="00131B21"/>
    <w:rsid w:val="001349D6"/>
    <w:rsid w:val="00155EB2"/>
    <w:rsid w:val="00185DC4"/>
    <w:rsid w:val="0019000E"/>
    <w:rsid w:val="001A3E3C"/>
    <w:rsid w:val="001B64CC"/>
    <w:rsid w:val="001C379D"/>
    <w:rsid w:val="00246B83"/>
    <w:rsid w:val="00291B72"/>
    <w:rsid w:val="002B42EB"/>
    <w:rsid w:val="002E49CB"/>
    <w:rsid w:val="003759AF"/>
    <w:rsid w:val="003837B6"/>
    <w:rsid w:val="00383BB5"/>
    <w:rsid w:val="003840E4"/>
    <w:rsid w:val="003A3AC1"/>
    <w:rsid w:val="003B264E"/>
    <w:rsid w:val="003C249B"/>
    <w:rsid w:val="0044383D"/>
    <w:rsid w:val="004B10D7"/>
    <w:rsid w:val="004B4F70"/>
    <w:rsid w:val="004E3116"/>
    <w:rsid w:val="005057FE"/>
    <w:rsid w:val="00510850"/>
    <w:rsid w:val="00543F80"/>
    <w:rsid w:val="00546D6D"/>
    <w:rsid w:val="005754A3"/>
    <w:rsid w:val="00592DDE"/>
    <w:rsid w:val="005962BC"/>
    <w:rsid w:val="005B5CE8"/>
    <w:rsid w:val="005C14A2"/>
    <w:rsid w:val="00616686"/>
    <w:rsid w:val="00666A35"/>
    <w:rsid w:val="006676F5"/>
    <w:rsid w:val="006A0217"/>
    <w:rsid w:val="006C0E0C"/>
    <w:rsid w:val="006E55FF"/>
    <w:rsid w:val="006F1658"/>
    <w:rsid w:val="0073201F"/>
    <w:rsid w:val="007354B3"/>
    <w:rsid w:val="00740D7D"/>
    <w:rsid w:val="00746FE7"/>
    <w:rsid w:val="007540BD"/>
    <w:rsid w:val="00755D2F"/>
    <w:rsid w:val="007606AB"/>
    <w:rsid w:val="00767CBA"/>
    <w:rsid w:val="0078502F"/>
    <w:rsid w:val="00792387"/>
    <w:rsid w:val="0079645D"/>
    <w:rsid w:val="007A68FC"/>
    <w:rsid w:val="007C4BD3"/>
    <w:rsid w:val="0082186A"/>
    <w:rsid w:val="00840416"/>
    <w:rsid w:val="00840F31"/>
    <w:rsid w:val="00844FF8"/>
    <w:rsid w:val="00852607"/>
    <w:rsid w:val="00870471"/>
    <w:rsid w:val="00880CDA"/>
    <w:rsid w:val="00897E12"/>
    <w:rsid w:val="008B2977"/>
    <w:rsid w:val="008B7A53"/>
    <w:rsid w:val="008D258B"/>
    <w:rsid w:val="009077DE"/>
    <w:rsid w:val="00925724"/>
    <w:rsid w:val="00952613"/>
    <w:rsid w:val="009549A4"/>
    <w:rsid w:val="0095691D"/>
    <w:rsid w:val="009726C5"/>
    <w:rsid w:val="009747BA"/>
    <w:rsid w:val="00985534"/>
    <w:rsid w:val="009A01CD"/>
    <w:rsid w:val="009B42D8"/>
    <w:rsid w:val="009C4654"/>
    <w:rsid w:val="00A124ED"/>
    <w:rsid w:val="00A52A91"/>
    <w:rsid w:val="00A72976"/>
    <w:rsid w:val="00AB23C4"/>
    <w:rsid w:val="00AD44D8"/>
    <w:rsid w:val="00AF3058"/>
    <w:rsid w:val="00B24A46"/>
    <w:rsid w:val="00B406F3"/>
    <w:rsid w:val="00B51A09"/>
    <w:rsid w:val="00B66C1C"/>
    <w:rsid w:val="00B823F4"/>
    <w:rsid w:val="00B82AD8"/>
    <w:rsid w:val="00B95017"/>
    <w:rsid w:val="00BA15C0"/>
    <w:rsid w:val="00BA25F4"/>
    <w:rsid w:val="00BB2739"/>
    <w:rsid w:val="00BF3D33"/>
    <w:rsid w:val="00C44CC0"/>
    <w:rsid w:val="00C82C92"/>
    <w:rsid w:val="00CA52D0"/>
    <w:rsid w:val="00CC7C9A"/>
    <w:rsid w:val="00CF0784"/>
    <w:rsid w:val="00CF0FF2"/>
    <w:rsid w:val="00CF2905"/>
    <w:rsid w:val="00D05A79"/>
    <w:rsid w:val="00D214C1"/>
    <w:rsid w:val="00D2406F"/>
    <w:rsid w:val="00D331CC"/>
    <w:rsid w:val="00D41CB1"/>
    <w:rsid w:val="00D436AD"/>
    <w:rsid w:val="00D47EF2"/>
    <w:rsid w:val="00D5003C"/>
    <w:rsid w:val="00D51EFC"/>
    <w:rsid w:val="00D54E6F"/>
    <w:rsid w:val="00D62478"/>
    <w:rsid w:val="00D90253"/>
    <w:rsid w:val="00D910E2"/>
    <w:rsid w:val="00DA18EB"/>
    <w:rsid w:val="00DA60FC"/>
    <w:rsid w:val="00DA7303"/>
    <w:rsid w:val="00DC4AE0"/>
    <w:rsid w:val="00DE0CD1"/>
    <w:rsid w:val="00DE1D59"/>
    <w:rsid w:val="00E02584"/>
    <w:rsid w:val="00E12FE5"/>
    <w:rsid w:val="00E205FC"/>
    <w:rsid w:val="00E230A8"/>
    <w:rsid w:val="00E326B2"/>
    <w:rsid w:val="00E44C8D"/>
    <w:rsid w:val="00E53675"/>
    <w:rsid w:val="00E64C87"/>
    <w:rsid w:val="00E71B32"/>
    <w:rsid w:val="00E752C3"/>
    <w:rsid w:val="00EB0A09"/>
    <w:rsid w:val="00ED130F"/>
    <w:rsid w:val="00F108A0"/>
    <w:rsid w:val="00F3068B"/>
    <w:rsid w:val="00F37E5B"/>
    <w:rsid w:val="00F431C8"/>
    <w:rsid w:val="00F44427"/>
    <w:rsid w:val="00F6782A"/>
    <w:rsid w:val="00F74CCB"/>
    <w:rsid w:val="00F94229"/>
    <w:rsid w:val="00FB752A"/>
    <w:rsid w:val="00FC371E"/>
    <w:rsid w:val="00FE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920A5"/>
  <w15:chartTrackingRefBased/>
  <w15:docId w15:val="{BF099C61-3BE5-4EA5-902F-25793D58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6FE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46FE7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746FE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46FE7"/>
    <w:rPr>
      <w:lang w:val="hr-HR"/>
    </w:rPr>
  </w:style>
  <w:style w:type="character" w:styleId="Hyperlink">
    <w:name w:val="Hyperlink"/>
    <w:basedOn w:val="DefaultParagraphFont"/>
    <w:uiPriority w:val="99"/>
    <w:unhideWhenUsed/>
    <w:rsid w:val="0082186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A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A35"/>
    <w:rPr>
      <w:rFonts w:ascii="Segoe UI" w:hAnsi="Segoe UI" w:cs="Segoe UI"/>
      <w:sz w:val="18"/>
      <w:szCs w:val="18"/>
      <w:lang w:val="hr-HR"/>
    </w:rPr>
  </w:style>
  <w:style w:type="paragraph" w:styleId="ListParagraph">
    <w:name w:val="List Paragraph"/>
    <w:basedOn w:val="Normal"/>
    <w:uiPriority w:val="34"/>
    <w:qFormat/>
    <w:rsid w:val="00291B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rsid w:val="00AF3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B1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7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VSN\Downloads\MEMO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51763-22ED-4489-B684-E2BD0FD06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19</TotalTime>
  <Pages>1</Pages>
  <Words>2020</Words>
  <Characters>11518</Characters>
  <Application>Microsoft Office Word</Application>
  <DocSecurity>0</DocSecurity>
  <Lines>95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DVSN</dc:creator>
  <cp:keywords/>
  <dc:description/>
  <cp:lastModifiedBy>Mea Kovačević</cp:lastModifiedBy>
  <cp:revision>9</cp:revision>
  <cp:lastPrinted>2021-05-20T09:05:00Z</cp:lastPrinted>
  <dcterms:created xsi:type="dcterms:W3CDTF">2025-01-31T09:03:00Z</dcterms:created>
  <dcterms:modified xsi:type="dcterms:W3CDTF">2025-02-06T07:55:00Z</dcterms:modified>
</cp:coreProperties>
</file>